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3" w:type="dxa"/>
        <w:tblCellMar>
          <w:left w:w="0" w:type="dxa"/>
          <w:right w:w="0" w:type="dxa"/>
        </w:tblCellMar>
        <w:tblLook w:val="04A0" w:firstRow="1" w:lastRow="0" w:firstColumn="1" w:lastColumn="0" w:noHBand="0" w:noVBand="1"/>
      </w:tblPr>
      <w:tblGrid>
        <w:gridCol w:w="4518"/>
        <w:gridCol w:w="574"/>
        <w:gridCol w:w="7554"/>
        <w:gridCol w:w="2297"/>
      </w:tblGrid>
      <w:tr w:rsidR="00216923" w:rsidRPr="00216923" w:rsidTr="00216923">
        <w:trPr>
          <w:trHeight w:val="538"/>
        </w:trPr>
        <w:tc>
          <w:tcPr>
            <w:tcW w:w="14943"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jc w:val="center"/>
              <w:rPr>
                <w:rFonts w:ascii="Times New Roman" w:eastAsia="Times New Roman" w:hAnsi="Times New Roman" w:cs="Times New Roman"/>
                <w:color w:val="373E48"/>
                <w:sz w:val="24"/>
                <w:szCs w:val="24"/>
                <w:lang w:eastAsia="ru-RU"/>
              </w:rPr>
            </w:pPr>
            <w:bookmarkStart w:id="0" w:name="_GoBack"/>
            <w:bookmarkEnd w:id="0"/>
            <w:r w:rsidRPr="00216923">
              <w:rPr>
                <w:rFonts w:ascii="Times New Roman" w:eastAsia="Times New Roman" w:hAnsi="Times New Roman" w:cs="Times New Roman"/>
                <w:b/>
                <w:bCs/>
                <w:color w:val="373E48"/>
                <w:sz w:val="24"/>
                <w:szCs w:val="24"/>
                <w:lang w:eastAsia="ru-RU"/>
              </w:rPr>
              <w:t xml:space="preserve">ПРЯМАЯ ГАРАНТИЯ ДЛЯ ЭКСПОРТЕРОВ, ВЫДАВАЕМАЯ СОВМЕСТНО С ПОРУЧИТЕЛЬСТВОМ РГО </w:t>
            </w:r>
            <w:r>
              <w:rPr>
                <w:rFonts w:ascii="Times New Roman" w:eastAsia="Times New Roman" w:hAnsi="Times New Roman" w:cs="Times New Roman"/>
                <w:b/>
                <w:bCs/>
                <w:color w:val="373E48"/>
                <w:sz w:val="24"/>
                <w:szCs w:val="24"/>
                <w:lang w:eastAsia="ru-RU"/>
              </w:rPr>
              <w:t xml:space="preserve">                                  </w:t>
            </w:r>
            <w:r w:rsidRPr="00216923">
              <w:rPr>
                <w:rFonts w:ascii="Times New Roman" w:eastAsia="Times New Roman" w:hAnsi="Times New Roman" w:cs="Times New Roman"/>
                <w:b/>
                <w:bCs/>
                <w:color w:val="373E48"/>
                <w:sz w:val="24"/>
                <w:szCs w:val="24"/>
                <w:lang w:eastAsia="ru-RU"/>
              </w:rPr>
              <w:t>(СОГАРАНТИЯ ДЛЯ ЭКСПОРТЕРОВ)</w:t>
            </w:r>
          </w:p>
        </w:tc>
      </w:tr>
      <w:tr w:rsidR="00216923" w:rsidRPr="00216923" w:rsidTr="00216923">
        <w:trPr>
          <w:trHeight w:val="437"/>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Вид гарантии</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Безотзывная</w:t>
            </w:r>
          </w:p>
        </w:tc>
      </w:tr>
      <w:tr w:rsidR="00216923" w:rsidRPr="00216923" w:rsidTr="00216923">
        <w:trPr>
          <w:trHeight w:val="437"/>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Целевой сегмент Заемщика</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Юридические лица/индивидуальные предприниматели/</w:t>
            </w:r>
          </w:p>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крестьянское (фермерское) хозяйство/</w:t>
            </w:r>
            <w:proofErr w:type="gramStart"/>
            <w:r w:rsidRPr="00216923">
              <w:rPr>
                <w:rFonts w:ascii="Times New Roman" w:eastAsia="Times New Roman" w:hAnsi="Times New Roman" w:cs="Times New Roman"/>
                <w:color w:val="373E48"/>
                <w:sz w:val="24"/>
                <w:szCs w:val="24"/>
                <w:lang w:eastAsia="ru-RU"/>
              </w:rPr>
              <w:t>потребительский</w:t>
            </w:r>
            <w:proofErr w:type="gramEnd"/>
          </w:p>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кооператив/производственный кооператив – субъекты МСП – экспортеры или производители сельскохозяйственной продукции и продовольствия, заключившие с экспортером договор, предусматривающий реализацию сельскохозяйственной продукции и продовольствия</w:t>
            </w:r>
          </w:p>
        </w:tc>
      </w:tr>
      <w:tr w:rsidR="00216923" w:rsidRPr="00216923" w:rsidTr="00216923">
        <w:trPr>
          <w:trHeight w:val="378"/>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Срок действия гарантии</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left="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xml:space="preserve">По решению Коллегиального органа Корпорации, но не </w:t>
            </w:r>
            <w:proofErr w:type="gramStart"/>
            <w:r w:rsidRPr="00216923">
              <w:rPr>
                <w:rFonts w:ascii="Times New Roman" w:eastAsia="Times New Roman" w:hAnsi="Times New Roman" w:cs="Times New Roman"/>
                <w:color w:val="373E48"/>
                <w:sz w:val="24"/>
                <w:szCs w:val="24"/>
                <w:lang w:eastAsia="ru-RU"/>
              </w:rPr>
              <w:t>более указанного</w:t>
            </w:r>
            <w:proofErr w:type="gramEnd"/>
            <w:r w:rsidRPr="00216923">
              <w:rPr>
                <w:rFonts w:ascii="Times New Roman" w:eastAsia="Times New Roman" w:hAnsi="Times New Roman" w:cs="Times New Roman"/>
                <w:color w:val="373E48"/>
                <w:sz w:val="24"/>
                <w:szCs w:val="24"/>
                <w:lang w:eastAsia="ru-RU"/>
              </w:rPr>
              <w:t xml:space="preserve"> в разделе «Целевое назначение гарантии»</w:t>
            </w:r>
          </w:p>
        </w:tc>
      </w:tr>
      <w:tr w:rsidR="00216923" w:rsidRPr="00216923" w:rsidTr="00216923">
        <w:trPr>
          <w:trHeight w:val="57"/>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57"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Лимит суммы гарантии</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57"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По решению Коллегиального органа Корпорации</w:t>
            </w:r>
          </w:p>
        </w:tc>
      </w:tr>
      <w:tr w:rsidR="00216923" w:rsidRPr="00216923" w:rsidTr="00216923">
        <w:trPr>
          <w:trHeight w:val="57"/>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57"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Валюта гарантии</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57"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Рубли Российской Федерации</w:t>
            </w:r>
          </w:p>
        </w:tc>
      </w:tr>
      <w:tr w:rsidR="00216923" w:rsidRPr="00216923" w:rsidTr="00216923">
        <w:trPr>
          <w:trHeight w:val="57"/>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57"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Валюта Кредита</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57"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Рубли Российской Федерации</w:t>
            </w:r>
          </w:p>
        </w:tc>
      </w:tr>
      <w:tr w:rsidR="00216923" w:rsidRPr="00216923" w:rsidTr="00216923">
        <w:trPr>
          <w:trHeight w:val="1406"/>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Вознаграждение за гарантию</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xml:space="preserve">0,75% </w:t>
            </w:r>
            <w:proofErr w:type="gramStart"/>
            <w:r w:rsidRPr="00216923">
              <w:rPr>
                <w:rFonts w:ascii="Times New Roman" w:eastAsia="Times New Roman" w:hAnsi="Times New Roman" w:cs="Times New Roman"/>
                <w:color w:val="373E48"/>
                <w:sz w:val="24"/>
                <w:szCs w:val="24"/>
                <w:lang w:eastAsia="ru-RU"/>
              </w:rPr>
              <w:t>годовых</w:t>
            </w:r>
            <w:proofErr w:type="gramEnd"/>
            <w:r w:rsidRPr="00216923">
              <w:rPr>
                <w:rFonts w:ascii="Times New Roman" w:eastAsia="Times New Roman" w:hAnsi="Times New Roman" w:cs="Times New Roman"/>
                <w:color w:val="373E48"/>
                <w:sz w:val="24"/>
                <w:szCs w:val="24"/>
                <w:lang w:eastAsia="ru-RU"/>
              </w:rPr>
              <w:t xml:space="preserve"> от суммы гарантии за весь срок действия гарантии.</w:t>
            </w:r>
          </w:p>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xml:space="preserve">При сумме гарантии более 50 </w:t>
            </w:r>
            <w:proofErr w:type="gramStart"/>
            <w:r w:rsidRPr="00216923">
              <w:rPr>
                <w:rFonts w:ascii="Times New Roman" w:eastAsia="Times New Roman" w:hAnsi="Times New Roman" w:cs="Times New Roman"/>
                <w:color w:val="373E48"/>
                <w:sz w:val="24"/>
                <w:szCs w:val="24"/>
                <w:lang w:eastAsia="ru-RU"/>
              </w:rPr>
              <w:t>млн</w:t>
            </w:r>
            <w:proofErr w:type="gramEnd"/>
            <w:r w:rsidRPr="00216923">
              <w:rPr>
                <w:rFonts w:ascii="Times New Roman" w:eastAsia="Times New Roman" w:hAnsi="Times New Roman" w:cs="Times New Roman"/>
                <w:color w:val="373E48"/>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216923" w:rsidRPr="00216923" w:rsidTr="00216923">
        <w:trPr>
          <w:trHeight w:val="199"/>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199"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lastRenderedPageBreak/>
              <w:t>Порядок уплаты вознаграждения</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Единовременно/ежегодно/1 раз в полгода/</w:t>
            </w:r>
          </w:p>
          <w:p w:rsidR="00216923" w:rsidRPr="00216923" w:rsidRDefault="00216923" w:rsidP="00216923">
            <w:pPr>
              <w:spacing w:before="100" w:beforeAutospacing="1" w:after="300" w:line="199"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ежеквартально</w:t>
            </w:r>
          </w:p>
        </w:tc>
      </w:tr>
      <w:tr w:rsidR="00216923" w:rsidRPr="00216923" w:rsidTr="00216923">
        <w:trPr>
          <w:trHeight w:val="450"/>
        </w:trPr>
        <w:tc>
          <w:tcPr>
            <w:tcW w:w="4518" w:type="dxa"/>
            <w:vMerge w:val="restart"/>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Целевое назначение гарантии</w:t>
            </w:r>
          </w:p>
        </w:tc>
        <w:tc>
          <w:tcPr>
            <w:tcW w:w="8128" w:type="dxa"/>
            <w:gridSpan w:val="2"/>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Гарантии предоставляются на следующие неторговые и торговые цели:</w:t>
            </w:r>
          </w:p>
        </w:tc>
        <w:tc>
          <w:tcPr>
            <w:tcW w:w="2297"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Максимальный срок гарантии, мес.</w:t>
            </w:r>
          </w:p>
        </w:tc>
      </w:tr>
      <w:tr w:rsidR="00216923" w:rsidRPr="00216923" w:rsidTr="00216923">
        <w:trPr>
          <w:trHeight w:val="450"/>
        </w:trPr>
        <w:tc>
          <w:tcPr>
            <w:tcW w:w="0" w:type="auto"/>
            <w:vMerge/>
            <w:tcBorders>
              <w:left w:val="single" w:sz="8" w:space="0" w:color="000000"/>
              <w:bottom w:val="single" w:sz="8" w:space="0" w:color="000000"/>
              <w:right w:val="single" w:sz="8" w:space="0" w:color="000000"/>
            </w:tcBorders>
            <w:vAlign w:val="center"/>
            <w:hideMark/>
          </w:tcPr>
          <w:p w:rsidR="00216923" w:rsidRPr="00216923" w:rsidRDefault="00216923" w:rsidP="00216923">
            <w:pPr>
              <w:spacing w:after="0" w:line="240" w:lineRule="auto"/>
              <w:ind w:firstLine="152"/>
              <w:rPr>
                <w:rFonts w:ascii="Times New Roman" w:eastAsia="Times New Roman" w:hAnsi="Times New Roman" w:cs="Times New Roman"/>
                <w:color w:val="373E48"/>
                <w:sz w:val="24"/>
                <w:szCs w:val="24"/>
                <w:lang w:eastAsia="ru-RU"/>
              </w:rPr>
            </w:pPr>
          </w:p>
        </w:tc>
        <w:tc>
          <w:tcPr>
            <w:tcW w:w="574"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1.</w:t>
            </w:r>
          </w:p>
        </w:tc>
        <w:tc>
          <w:tcPr>
            <w:tcW w:w="7554" w:type="dxa"/>
            <w:tcBorders>
              <w:top w:val="single" w:sz="8" w:space="0" w:color="000000"/>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42"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заключаемым с Банком в целях финансирования экспортных сделок (контрактов) или договоров комиссии между производителем и экспортером, предусматривающих реализацию сельскохозяйственной продукции и продовольствия, а также в обеспечение выданных Кредитов</w:t>
            </w:r>
            <w:proofErr w:type="gramStart"/>
            <w:r w:rsidRPr="00216923">
              <w:rPr>
                <w:rFonts w:ascii="Times New Roman" w:eastAsia="Times New Roman" w:hAnsi="Times New Roman" w:cs="Times New Roman"/>
                <w:color w:val="373E48"/>
                <w:sz w:val="24"/>
                <w:szCs w:val="24"/>
                <w:lang w:eastAsia="ru-RU"/>
              </w:rPr>
              <w:t>1</w:t>
            </w:r>
            <w:proofErr w:type="gramEnd"/>
            <w:r w:rsidR="00AA2A38">
              <w:fldChar w:fldCharType="begin"/>
            </w:r>
            <w:r w:rsidR="00AA2A38">
              <w:instrText xml:space="preserve"> HYPERLINK "file:///C:\\Users\\Artwell1\\Downloads\\%D0%9F%D1%80%D1%8F%D0%BC%D0%B0%D1%8F%20%D0%B3%D0%B0%D1%80%D0%B0%D0%BD%D1%82%D0%B</w:instrText>
            </w:r>
            <w:r w:rsidR="00AA2A38">
              <w:instrText xml:space="preserve">8%D1%8F%20%D0%B4%D0%BB%D1%8F%20%D1%8D%D0%BA%D1%81%D0%BF%D0%BE%D1%80%D1%82%D0%B5%D1%80%D0%BE%D0%B2.docx" \l "_ftn1" </w:instrText>
            </w:r>
            <w:r w:rsidR="00AA2A38">
              <w:fldChar w:fldCharType="separate"/>
            </w:r>
            <w:r w:rsidRPr="00216923">
              <w:rPr>
                <w:rFonts w:ascii="Times New Roman" w:eastAsia="Times New Roman" w:hAnsi="Times New Roman" w:cs="Times New Roman"/>
                <w:color w:val="0000FF"/>
                <w:sz w:val="24"/>
                <w:szCs w:val="24"/>
                <w:u w:val="single"/>
                <w:lang w:eastAsia="ru-RU"/>
              </w:rPr>
              <w:t>[1]</w:t>
            </w:r>
            <w:r w:rsidR="00AA2A38">
              <w:rPr>
                <w:rFonts w:ascii="Times New Roman" w:eastAsia="Times New Roman" w:hAnsi="Times New Roman" w:cs="Times New Roman"/>
                <w:color w:val="0000FF"/>
                <w:sz w:val="24"/>
                <w:szCs w:val="24"/>
                <w:u w:val="single"/>
                <w:lang w:eastAsia="ru-RU"/>
              </w:rPr>
              <w:fldChar w:fldCharType="end"/>
            </w:r>
          </w:p>
        </w:tc>
        <w:tc>
          <w:tcPr>
            <w:tcW w:w="2297"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184</w:t>
            </w:r>
          </w:p>
        </w:tc>
      </w:tr>
      <w:tr w:rsidR="00216923" w:rsidRPr="00216923" w:rsidTr="00216923">
        <w:trPr>
          <w:trHeight w:val="90"/>
        </w:trPr>
        <w:tc>
          <w:tcPr>
            <w:tcW w:w="4518" w:type="dxa"/>
            <w:vMerge w:val="restart"/>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9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 </w:t>
            </w:r>
          </w:p>
        </w:tc>
        <w:tc>
          <w:tcPr>
            <w:tcW w:w="574"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9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2.</w:t>
            </w:r>
          </w:p>
        </w:tc>
        <w:tc>
          <w:tcPr>
            <w:tcW w:w="7554"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90" w:lineRule="atLeast"/>
              <w:ind w:right="162"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2297"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9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w:t>
            </w:r>
          </w:p>
        </w:tc>
      </w:tr>
      <w:tr w:rsidR="00216923" w:rsidRPr="00216923" w:rsidTr="00216923">
        <w:trPr>
          <w:trHeight w:val="191"/>
        </w:trPr>
        <w:tc>
          <w:tcPr>
            <w:tcW w:w="0" w:type="auto"/>
            <w:vMerge/>
            <w:tcBorders>
              <w:left w:val="single" w:sz="8" w:space="0" w:color="000000"/>
              <w:bottom w:val="single" w:sz="8" w:space="0" w:color="000000"/>
              <w:right w:val="single" w:sz="8" w:space="0" w:color="000000"/>
            </w:tcBorders>
            <w:vAlign w:val="center"/>
            <w:hideMark/>
          </w:tcPr>
          <w:p w:rsidR="00216923" w:rsidRPr="00216923" w:rsidRDefault="00216923" w:rsidP="00216923">
            <w:pPr>
              <w:spacing w:after="0" w:line="240" w:lineRule="auto"/>
              <w:ind w:firstLine="152"/>
              <w:rPr>
                <w:rFonts w:ascii="Times New Roman" w:eastAsia="Times New Roman" w:hAnsi="Times New Roman" w:cs="Times New Roman"/>
                <w:color w:val="373E48"/>
                <w:sz w:val="24"/>
                <w:szCs w:val="24"/>
                <w:lang w:eastAsia="ru-RU"/>
              </w:rPr>
            </w:pPr>
          </w:p>
        </w:tc>
        <w:tc>
          <w:tcPr>
            <w:tcW w:w="574"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191"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3.</w:t>
            </w:r>
          </w:p>
        </w:tc>
        <w:tc>
          <w:tcPr>
            <w:tcW w:w="7554"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62"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xml:space="preserve">Обеспечение </w:t>
            </w:r>
            <w:proofErr w:type="spellStart"/>
            <w:r w:rsidRPr="00216923">
              <w:rPr>
                <w:rFonts w:ascii="Times New Roman" w:eastAsia="Times New Roman" w:hAnsi="Times New Roman" w:cs="Times New Roman"/>
                <w:color w:val="373E48"/>
                <w:sz w:val="24"/>
                <w:szCs w:val="24"/>
                <w:lang w:eastAsia="ru-RU"/>
              </w:rPr>
              <w:t>реструктурируемых</w:t>
            </w:r>
            <w:proofErr w:type="spellEnd"/>
            <w:r w:rsidRPr="00216923">
              <w:rPr>
                <w:rFonts w:ascii="Times New Roman" w:eastAsia="Times New Roman" w:hAnsi="Times New Roman" w:cs="Times New Roman"/>
                <w:color w:val="373E48"/>
                <w:sz w:val="24"/>
                <w:szCs w:val="24"/>
                <w:lang w:eastAsia="ru-RU"/>
              </w:rPr>
              <w:t>/</w:t>
            </w:r>
          </w:p>
          <w:p w:rsidR="00216923" w:rsidRPr="00216923" w:rsidRDefault="00216923" w:rsidP="00216923">
            <w:pPr>
              <w:spacing w:before="100" w:beforeAutospacing="1" w:after="300" w:line="191" w:lineRule="atLeast"/>
              <w:ind w:right="162"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рефинансируемых Кредитов</w:t>
            </w:r>
            <w:proofErr w:type="gramStart"/>
            <w:r w:rsidRPr="00216923">
              <w:rPr>
                <w:rFonts w:ascii="Times New Roman" w:eastAsia="Times New Roman" w:hAnsi="Times New Roman" w:cs="Times New Roman"/>
                <w:color w:val="373E48"/>
                <w:sz w:val="24"/>
                <w:szCs w:val="24"/>
                <w:lang w:eastAsia="ru-RU"/>
              </w:rPr>
              <w:t>1</w:t>
            </w:r>
            <w:proofErr w:type="gramEnd"/>
            <w:r w:rsidR="00AA2A38">
              <w:fldChar w:fldCharType="begin"/>
            </w:r>
            <w:r w:rsidR="00AA2A38">
              <w:instrText xml:space="preserve"> HYPERLINK "file:///C:\\Users\\Artwell1\\Downloads\\%D0%9F%D1%80%D1%8F%D0%BC%D0%B0%D1%8F%20%D0%B3%D0%B0%D1%80%D0%B0%D0%BD%D1%82%D0%B8%D1%8F%20%D0%B4%D0%BB%D1%8F%20%D1%8D%D0%BA%D1%81%D0%BF%D0%BE%D1%80%D1%82%D0%B5%D1%80%D0%BE%D0%B2.docx" \l "_ftn2" </w:instrText>
            </w:r>
            <w:r w:rsidR="00AA2A38">
              <w:fldChar w:fldCharType="separate"/>
            </w:r>
            <w:r w:rsidRPr="00216923">
              <w:rPr>
                <w:rFonts w:ascii="Times New Roman" w:eastAsia="Times New Roman" w:hAnsi="Times New Roman" w:cs="Times New Roman"/>
                <w:color w:val="0000FF"/>
                <w:sz w:val="24"/>
                <w:szCs w:val="24"/>
                <w:u w:val="single"/>
                <w:lang w:eastAsia="ru-RU"/>
              </w:rPr>
              <w:t>[2]</w:t>
            </w:r>
            <w:r w:rsidR="00AA2A38">
              <w:rPr>
                <w:rFonts w:ascii="Times New Roman" w:eastAsia="Times New Roman" w:hAnsi="Times New Roman" w:cs="Times New Roman"/>
                <w:color w:val="0000FF"/>
                <w:sz w:val="24"/>
                <w:szCs w:val="24"/>
                <w:u w:val="single"/>
                <w:lang w:eastAsia="ru-RU"/>
              </w:rPr>
              <w:fldChar w:fldCharType="end"/>
            </w:r>
            <w:r w:rsidRPr="00216923">
              <w:rPr>
                <w:rFonts w:ascii="Times New Roman" w:eastAsia="Times New Roman" w:hAnsi="Times New Roman" w:cs="Times New Roman"/>
                <w:color w:val="373E48"/>
                <w:sz w:val="24"/>
                <w:szCs w:val="24"/>
                <w:lang w:eastAsia="ru-RU"/>
              </w:rPr>
              <w:t>, предоставляемых на основании Кредитных договоров, указанных в пункте 1 настоящего раздела</w:t>
            </w:r>
          </w:p>
        </w:tc>
        <w:tc>
          <w:tcPr>
            <w:tcW w:w="2297"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191"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184</w:t>
            </w:r>
          </w:p>
        </w:tc>
      </w:tr>
      <w:tr w:rsidR="00216923" w:rsidRPr="00216923" w:rsidTr="00216923">
        <w:trPr>
          <w:trHeight w:val="90"/>
        </w:trPr>
        <w:tc>
          <w:tcPr>
            <w:tcW w:w="0" w:type="auto"/>
            <w:vMerge/>
            <w:tcBorders>
              <w:left w:val="single" w:sz="8" w:space="0" w:color="000000"/>
              <w:bottom w:val="single" w:sz="8" w:space="0" w:color="000000"/>
              <w:right w:val="single" w:sz="8" w:space="0" w:color="000000"/>
            </w:tcBorders>
            <w:vAlign w:val="center"/>
            <w:hideMark/>
          </w:tcPr>
          <w:p w:rsidR="00216923" w:rsidRPr="00216923" w:rsidRDefault="00216923" w:rsidP="00216923">
            <w:pPr>
              <w:spacing w:after="0" w:line="240" w:lineRule="auto"/>
              <w:ind w:firstLine="152"/>
              <w:rPr>
                <w:rFonts w:ascii="Times New Roman" w:eastAsia="Times New Roman" w:hAnsi="Times New Roman" w:cs="Times New Roman"/>
                <w:color w:val="373E48"/>
                <w:sz w:val="24"/>
                <w:szCs w:val="24"/>
                <w:lang w:eastAsia="ru-RU"/>
              </w:rPr>
            </w:pPr>
          </w:p>
        </w:tc>
        <w:tc>
          <w:tcPr>
            <w:tcW w:w="574"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9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4.</w:t>
            </w:r>
          </w:p>
        </w:tc>
        <w:tc>
          <w:tcPr>
            <w:tcW w:w="7554"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90" w:lineRule="atLeast"/>
              <w:ind w:right="162"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 а также в обеспечение выданных Кредитов на эти цели</w:t>
            </w:r>
          </w:p>
        </w:tc>
        <w:tc>
          <w:tcPr>
            <w:tcW w:w="2297" w:type="dxa"/>
            <w:tcBorders>
              <w:bottom w:val="single" w:sz="8" w:space="0" w:color="000000"/>
              <w:right w:val="single" w:sz="8" w:space="0" w:color="000000"/>
            </w:tcBorders>
            <w:vAlign w:val="center"/>
            <w:hideMark/>
          </w:tcPr>
          <w:p w:rsidR="00216923" w:rsidRPr="00216923" w:rsidRDefault="00216923" w:rsidP="00216923">
            <w:pPr>
              <w:spacing w:before="100" w:beforeAutospacing="1" w:after="300" w:line="90" w:lineRule="atLeast"/>
              <w:ind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52</w:t>
            </w:r>
          </w:p>
        </w:tc>
      </w:tr>
      <w:tr w:rsidR="00216923" w:rsidRPr="00216923" w:rsidTr="00216923">
        <w:trPr>
          <w:trHeight w:val="974"/>
        </w:trPr>
        <w:tc>
          <w:tcPr>
            <w:tcW w:w="0" w:type="auto"/>
            <w:vMerge/>
            <w:tcBorders>
              <w:left w:val="single" w:sz="8" w:space="0" w:color="000000"/>
              <w:bottom w:val="single" w:sz="8" w:space="0" w:color="000000"/>
              <w:right w:val="single" w:sz="8" w:space="0" w:color="000000"/>
            </w:tcBorders>
            <w:vAlign w:val="center"/>
            <w:hideMark/>
          </w:tcPr>
          <w:p w:rsidR="00216923" w:rsidRPr="00216923" w:rsidRDefault="00216923" w:rsidP="00216923">
            <w:pPr>
              <w:spacing w:after="0" w:line="240" w:lineRule="auto"/>
              <w:ind w:firstLine="152"/>
              <w:rPr>
                <w:rFonts w:ascii="Times New Roman" w:eastAsia="Times New Roman" w:hAnsi="Times New Roman" w:cs="Times New Roman"/>
                <w:color w:val="373E48"/>
                <w:sz w:val="24"/>
                <w:szCs w:val="24"/>
                <w:lang w:eastAsia="ru-RU"/>
              </w:rPr>
            </w:pP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xml:space="preserve">Гарантия Корпорации предоставляется </w:t>
            </w:r>
            <w:proofErr w:type="gramStart"/>
            <w:r w:rsidRPr="00216923">
              <w:rPr>
                <w:rFonts w:ascii="Times New Roman" w:eastAsia="Times New Roman" w:hAnsi="Times New Roman" w:cs="Times New Roman"/>
                <w:color w:val="373E48"/>
                <w:sz w:val="24"/>
                <w:szCs w:val="24"/>
                <w:lang w:eastAsia="ru-RU"/>
              </w:rPr>
              <w:t>по</w:t>
            </w:r>
            <w:proofErr w:type="gramEnd"/>
            <w:r w:rsidRPr="00216923">
              <w:rPr>
                <w:rFonts w:ascii="Times New Roman" w:eastAsia="Times New Roman" w:hAnsi="Times New Roman" w:cs="Times New Roman"/>
                <w:color w:val="373E48"/>
                <w:sz w:val="24"/>
                <w:szCs w:val="24"/>
                <w:lang w:eastAsia="ru-RU"/>
              </w:rPr>
              <w:t>:</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w:t>
            </w:r>
            <w:r w:rsidRPr="00216923">
              <w:rPr>
                <w:rFonts w:ascii="Times New Roman" w:eastAsia="Times New Roman" w:hAnsi="Times New Roman" w:cs="Times New Roman"/>
                <w:color w:val="373E48"/>
                <w:sz w:val="24"/>
                <w:szCs w:val="24"/>
                <w:u w:val="single"/>
                <w:lang w:eastAsia="ru-RU"/>
              </w:rPr>
              <w:t>заключаемым с Банком</w:t>
            </w:r>
            <w:r w:rsidRPr="00216923">
              <w:rPr>
                <w:rFonts w:ascii="Times New Roman" w:eastAsia="Times New Roman" w:hAnsi="Times New Roman" w:cs="Times New Roman"/>
                <w:color w:val="373E48"/>
                <w:sz w:val="24"/>
                <w:szCs w:val="24"/>
                <w:lang w:eastAsia="ru-RU"/>
              </w:rPr>
              <w:t> Кредитным договорам и иным договорам кредитного характера;</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w:t>
            </w:r>
            <w:r w:rsidRPr="00216923">
              <w:rPr>
                <w:rFonts w:ascii="Times New Roman" w:eastAsia="Times New Roman" w:hAnsi="Times New Roman" w:cs="Times New Roman"/>
                <w:color w:val="373E48"/>
                <w:sz w:val="24"/>
                <w:szCs w:val="24"/>
                <w:u w:val="single"/>
                <w:lang w:eastAsia="ru-RU"/>
              </w:rPr>
              <w:t>по ранее заключенным</w:t>
            </w:r>
            <w:r w:rsidRPr="00216923">
              <w:rPr>
                <w:rFonts w:ascii="Times New Roman" w:eastAsia="Times New Roman" w:hAnsi="Times New Roman" w:cs="Times New Roman"/>
                <w:color w:val="373E48"/>
                <w:sz w:val="24"/>
                <w:szCs w:val="24"/>
                <w:lang w:eastAsia="ru-RU"/>
              </w:rPr>
              <w:t xml:space="preserve"> с Банком Кредитным договорам и иным договорам кредитного характера (в том </w:t>
            </w:r>
            <w:proofErr w:type="gramStart"/>
            <w:r w:rsidRPr="00216923">
              <w:rPr>
                <w:rFonts w:ascii="Times New Roman" w:eastAsia="Times New Roman" w:hAnsi="Times New Roman" w:cs="Times New Roman"/>
                <w:color w:val="373E48"/>
                <w:sz w:val="24"/>
                <w:szCs w:val="24"/>
                <w:lang w:eastAsia="ru-RU"/>
              </w:rPr>
              <w:t>числе</w:t>
            </w:r>
            <w:proofErr w:type="gramEnd"/>
            <w:r w:rsidRPr="00216923">
              <w:rPr>
                <w:rFonts w:ascii="Times New Roman" w:eastAsia="Times New Roman" w:hAnsi="Times New Roman" w:cs="Times New Roman"/>
                <w:color w:val="373E48"/>
                <w:sz w:val="24"/>
                <w:szCs w:val="24"/>
                <w:lang w:eastAsia="ru-RU"/>
              </w:rPr>
              <w:t xml:space="preserve"> если кредитные средства в рамках Кредитного договора частично предоставлены Заемщику или не предоставлены).</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u w:val="single"/>
                <w:lang w:eastAsia="ru-RU"/>
              </w:rPr>
              <w:t>По заключаемым</w:t>
            </w:r>
            <w:r w:rsidRPr="00216923">
              <w:rPr>
                <w:rFonts w:ascii="Times New Roman" w:eastAsia="Times New Roman" w:hAnsi="Times New Roman" w:cs="Times New Roman"/>
                <w:color w:val="373E48"/>
                <w:sz w:val="24"/>
                <w:szCs w:val="24"/>
                <w:lang w:eastAsia="ru-RU"/>
              </w:rPr>
              <w:t> Заемщиками с Банком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кредит;</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xml:space="preserve">-        </w:t>
            </w:r>
            <w:proofErr w:type="spellStart"/>
            <w:r w:rsidRPr="00216923">
              <w:rPr>
                <w:rFonts w:ascii="Times New Roman" w:eastAsia="Times New Roman" w:hAnsi="Times New Roman" w:cs="Times New Roman"/>
                <w:color w:val="373E48"/>
                <w:sz w:val="24"/>
                <w:szCs w:val="24"/>
                <w:lang w:eastAsia="ru-RU"/>
              </w:rPr>
              <w:t>невозобновляемая</w:t>
            </w:r>
            <w:proofErr w:type="spellEnd"/>
            <w:r w:rsidRPr="00216923">
              <w:rPr>
                <w:rFonts w:ascii="Times New Roman" w:eastAsia="Times New Roman" w:hAnsi="Times New Roman" w:cs="Times New Roman"/>
                <w:color w:val="373E48"/>
                <w:sz w:val="24"/>
                <w:szCs w:val="24"/>
                <w:lang w:eastAsia="ru-RU"/>
              </w:rPr>
              <w:t xml:space="preserve"> кредитная линия;</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возобновляемая кредитная линия;</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овердрафт.</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u w:val="single"/>
                <w:lang w:eastAsia="ru-RU"/>
              </w:rPr>
              <w:t>По ранее заключенным</w:t>
            </w:r>
            <w:r w:rsidRPr="00216923">
              <w:rPr>
                <w:rFonts w:ascii="Times New Roman" w:eastAsia="Times New Roman" w:hAnsi="Times New Roman" w:cs="Times New Roman"/>
                <w:color w:val="373E48"/>
                <w:sz w:val="24"/>
                <w:szCs w:val="24"/>
                <w:lang w:eastAsia="ru-RU"/>
              </w:rPr>
              <w:t> Заемщиками c Банком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xml:space="preserve">-  кредит (гарантия Корпорации предоставляется только в случае, если условиями заключенного Кредитного договора предусмотрена выдача Кредита при условии </w:t>
            </w:r>
            <w:proofErr w:type="gramStart"/>
            <w:r w:rsidRPr="00216923">
              <w:rPr>
                <w:rFonts w:ascii="Times New Roman" w:eastAsia="Times New Roman" w:hAnsi="Times New Roman" w:cs="Times New Roman"/>
                <w:color w:val="373E48"/>
                <w:sz w:val="24"/>
                <w:szCs w:val="24"/>
                <w:lang w:eastAsia="ru-RU"/>
              </w:rPr>
              <w:t xml:space="preserve">оформления гарантии </w:t>
            </w:r>
            <w:r w:rsidRPr="00216923">
              <w:rPr>
                <w:rFonts w:ascii="Times New Roman" w:eastAsia="Times New Roman" w:hAnsi="Times New Roman" w:cs="Times New Roman"/>
                <w:color w:val="373E48"/>
                <w:sz w:val="24"/>
                <w:szCs w:val="24"/>
                <w:lang w:eastAsia="ru-RU"/>
              </w:rPr>
              <w:lastRenderedPageBreak/>
              <w:t>Корпорации/получения положительного решения Корпорации</w:t>
            </w:r>
            <w:proofErr w:type="gramEnd"/>
            <w:r w:rsidRPr="00216923">
              <w:rPr>
                <w:rFonts w:ascii="Times New Roman" w:eastAsia="Times New Roman" w:hAnsi="Times New Roman" w:cs="Times New Roman"/>
                <w:color w:val="373E48"/>
                <w:sz w:val="24"/>
                <w:szCs w:val="24"/>
                <w:lang w:eastAsia="ru-RU"/>
              </w:rPr>
              <w:t xml:space="preserve"> о предоставлении гарантии);</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w:t>
            </w:r>
            <w:proofErr w:type="spellStart"/>
            <w:r w:rsidRPr="00216923">
              <w:rPr>
                <w:rFonts w:ascii="Times New Roman" w:eastAsia="Times New Roman" w:hAnsi="Times New Roman" w:cs="Times New Roman"/>
                <w:color w:val="373E48"/>
                <w:sz w:val="24"/>
                <w:szCs w:val="24"/>
                <w:lang w:eastAsia="ru-RU"/>
              </w:rPr>
              <w:t>невозобновляемая</w:t>
            </w:r>
            <w:proofErr w:type="spellEnd"/>
            <w:r w:rsidRPr="00216923">
              <w:rPr>
                <w:rFonts w:ascii="Times New Roman" w:eastAsia="Times New Roman" w:hAnsi="Times New Roman" w:cs="Times New Roman"/>
                <w:color w:val="373E48"/>
                <w:sz w:val="24"/>
                <w:szCs w:val="24"/>
                <w:lang w:eastAsia="ru-RU"/>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w:t>
            </w:r>
            <w:proofErr w:type="gramStart"/>
            <w:r w:rsidRPr="00216923">
              <w:rPr>
                <w:rFonts w:ascii="Times New Roman" w:eastAsia="Times New Roman" w:hAnsi="Times New Roman" w:cs="Times New Roman"/>
                <w:color w:val="373E48"/>
                <w:sz w:val="24"/>
                <w:szCs w:val="24"/>
                <w:lang w:eastAsia="ru-RU"/>
              </w:rPr>
              <w:t>оформления Гарантии Корпорации/получения положительного решения Корпорации</w:t>
            </w:r>
            <w:proofErr w:type="gramEnd"/>
            <w:r w:rsidRPr="00216923">
              <w:rPr>
                <w:rFonts w:ascii="Times New Roman" w:eastAsia="Times New Roman" w:hAnsi="Times New Roman" w:cs="Times New Roman"/>
                <w:color w:val="373E48"/>
                <w:sz w:val="24"/>
                <w:szCs w:val="24"/>
                <w:lang w:eastAsia="ru-RU"/>
              </w:rPr>
              <w:t xml:space="preserve"> о предоставлении гарантии, либо при выдаче очередного транша кредитной линии);</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proofErr w:type="gramStart"/>
            <w:r w:rsidRPr="00216923">
              <w:rPr>
                <w:rFonts w:ascii="Times New Roman" w:eastAsia="Times New Roman" w:hAnsi="Times New Roman" w:cs="Times New Roman"/>
                <w:color w:val="373E48"/>
                <w:sz w:val="24"/>
                <w:szCs w:val="24"/>
                <w:lang w:eastAsia="ru-RU"/>
              </w:rPr>
              <w:t>-                         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roofErr w:type="gramEnd"/>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216923">
              <w:rPr>
                <w:rFonts w:ascii="Times New Roman" w:eastAsia="Times New Roman" w:hAnsi="Times New Roman" w:cs="Times New Roman"/>
                <w:color w:val="373E48"/>
                <w:sz w:val="24"/>
                <w:szCs w:val="24"/>
                <w:lang w:eastAsia="ru-RU"/>
              </w:rPr>
              <w:t>невозобновляемой</w:t>
            </w:r>
            <w:proofErr w:type="spellEnd"/>
            <w:r w:rsidRPr="00216923">
              <w:rPr>
                <w:rFonts w:ascii="Times New Roman" w:eastAsia="Times New Roman" w:hAnsi="Times New Roman" w:cs="Times New Roman"/>
                <w:color w:val="373E48"/>
                <w:sz w:val="24"/>
                <w:szCs w:val="24"/>
                <w:lang w:eastAsia="ru-RU"/>
              </w:rPr>
              <w:t>/возобновляемой кредитной линии/овердрафту) в целом.</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Гарантия Корпорации предоставляется по кредиту на рефинансирование кредитов Банка, в том числе выданных на инвестиционные цели, пополнение оборотных средств,</w:t>
            </w:r>
            <w:r w:rsidRPr="00216923">
              <w:rPr>
                <w:rFonts w:ascii="Times New Roman" w:eastAsia="Times New Roman" w:hAnsi="Times New Roman" w:cs="Times New Roman"/>
                <w:color w:val="FF0000"/>
                <w:sz w:val="24"/>
                <w:szCs w:val="24"/>
                <w:lang w:eastAsia="ru-RU"/>
              </w:rPr>
              <w:t> </w:t>
            </w:r>
            <w:r w:rsidRPr="00216923">
              <w:rPr>
                <w:rFonts w:ascii="Times New Roman" w:eastAsia="Times New Roman" w:hAnsi="Times New Roman" w:cs="Times New Roman"/>
                <w:color w:val="373E48"/>
                <w:sz w:val="24"/>
                <w:szCs w:val="24"/>
                <w:lang w:eastAsia="ru-RU"/>
              </w:rPr>
              <w:t>рефинансирование ранее выданных Кредитов, и на смешанные цели</w:t>
            </w:r>
          </w:p>
        </w:tc>
      </w:tr>
      <w:tr w:rsidR="00216923" w:rsidRPr="00216923" w:rsidTr="00216923">
        <w:trPr>
          <w:trHeight w:val="659"/>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lastRenderedPageBreak/>
              <w:t>Обязательное условие предоставления гарантии</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xml:space="preserve">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 возвращенной в установленные Кредитным договором порядке и сроки суммы основного долга без учета процентов за пользование Кредитом и иных платежей. </w:t>
            </w:r>
            <w:proofErr w:type="gramStart"/>
            <w:r w:rsidRPr="00216923">
              <w:rPr>
                <w:rFonts w:ascii="Times New Roman" w:eastAsia="Times New Roman" w:hAnsi="Times New Roman" w:cs="Times New Roman"/>
                <w:color w:val="373E48"/>
                <w:sz w:val="24"/>
                <w:szCs w:val="24"/>
                <w:lang w:eastAsia="ru-RU"/>
              </w:rPr>
              <w:t xml:space="preserve">При общей сумме Гарантии и поручительства по Кредиту более 50% текущей суммы основного долга (без учета процентов за </w:t>
            </w:r>
            <w:r w:rsidRPr="00216923">
              <w:rPr>
                <w:rFonts w:ascii="Times New Roman" w:eastAsia="Times New Roman" w:hAnsi="Times New Roman" w:cs="Times New Roman"/>
                <w:color w:val="373E48"/>
                <w:sz w:val="24"/>
                <w:szCs w:val="24"/>
                <w:lang w:eastAsia="ru-RU"/>
              </w:rPr>
              <w:lastRenderedPageBreak/>
              <w:t>пользование Кредитом и иных платежей) обеспечение в виде поручительства РГО должно составлять не менее 10%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roofErr w:type="gramEnd"/>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216923" w:rsidRPr="00216923" w:rsidTr="00216923">
        <w:trPr>
          <w:trHeight w:val="506"/>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lastRenderedPageBreak/>
              <w:t>Дата начала действия гарантии</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216923" w:rsidRPr="00216923" w:rsidTr="00216923">
        <w:trPr>
          <w:trHeight w:val="514"/>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Дата окончания действия гарантии</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xml:space="preserve">По истечении 120 дней </w:t>
            </w:r>
            <w:proofErr w:type="gramStart"/>
            <w:r w:rsidRPr="00216923">
              <w:rPr>
                <w:rFonts w:ascii="Times New Roman" w:eastAsia="Times New Roman" w:hAnsi="Times New Roman" w:cs="Times New Roman"/>
                <w:color w:val="373E48"/>
                <w:sz w:val="24"/>
                <w:szCs w:val="24"/>
                <w:lang w:eastAsia="ru-RU"/>
              </w:rPr>
              <w:t>с даты исполнения</w:t>
            </w:r>
            <w:proofErr w:type="gramEnd"/>
            <w:r w:rsidRPr="00216923">
              <w:rPr>
                <w:rFonts w:ascii="Times New Roman" w:eastAsia="Times New Roman" w:hAnsi="Times New Roman" w:cs="Times New Roman"/>
                <w:color w:val="373E48"/>
                <w:sz w:val="24"/>
                <w:szCs w:val="24"/>
                <w:lang w:eastAsia="ru-RU"/>
              </w:rPr>
              <w:t xml:space="preserve"> кредитного обязательства, определяемой в соответствии с положениями Кредитного договора</w:t>
            </w:r>
          </w:p>
        </w:tc>
      </w:tr>
      <w:tr w:rsidR="00216923" w:rsidRPr="00216923" w:rsidTr="00216923">
        <w:trPr>
          <w:trHeight w:val="690"/>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Переход права требования</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Корпорация приобретает право требовать от Заемщика в порядке регресса возмещения сумм, уплаченных Банку по Независимой гарантии.</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xml:space="preserve">При гарантийном лимите на Заемщика более 50 </w:t>
            </w:r>
            <w:proofErr w:type="gramStart"/>
            <w:r w:rsidRPr="00216923">
              <w:rPr>
                <w:rFonts w:ascii="Times New Roman" w:eastAsia="Times New Roman" w:hAnsi="Times New Roman" w:cs="Times New Roman"/>
                <w:color w:val="373E48"/>
                <w:sz w:val="24"/>
                <w:szCs w:val="24"/>
                <w:lang w:eastAsia="ru-RU"/>
              </w:rPr>
              <w:t>млн</w:t>
            </w:r>
            <w:proofErr w:type="gramEnd"/>
            <w:r w:rsidRPr="00216923">
              <w:rPr>
                <w:rFonts w:ascii="Times New Roman" w:eastAsia="Times New Roman" w:hAnsi="Times New Roman" w:cs="Times New Roman"/>
                <w:color w:val="373E48"/>
                <w:sz w:val="24"/>
                <w:szCs w:val="24"/>
                <w:lang w:eastAsia="ru-RU"/>
              </w:rPr>
              <w:t xml:space="preserve"> рублей: Корпорация реализует свои права по последующему залогу и/или поручительству, которым обеспечивается регрессное право Гаранта</w:t>
            </w:r>
          </w:p>
        </w:tc>
      </w:tr>
      <w:tr w:rsidR="00216923" w:rsidRPr="00216923" w:rsidTr="00216923">
        <w:trPr>
          <w:trHeight w:val="57"/>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57"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Требования к Принципалу/Заемщику</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57"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Субъекты МСП – российские экспортеры или производители сельскохозяйственной продукции и продовольствия</w:t>
            </w:r>
          </w:p>
        </w:tc>
      </w:tr>
      <w:tr w:rsidR="00216923" w:rsidRPr="00216923" w:rsidTr="00216923">
        <w:trPr>
          <w:trHeight w:val="589"/>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lastRenderedPageBreak/>
              <w:t>Требования к Бенефициару/Банку</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p>
        </w:tc>
      </w:tr>
      <w:tr w:rsidR="00216923" w:rsidRPr="00216923" w:rsidTr="00216923">
        <w:trPr>
          <w:trHeight w:val="1111"/>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Вид и объем ответственности перед Банком</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 исполненным полностью или частично по истечении 90 календарных дней со дня, в который соответствующее обязательство должно было быть исполнено.</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Банк вправе обратиться к РГО с требованием о совершении платежа по поручительству в сроки и порядке, установленные Договором поручительства.</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
        </w:tc>
      </w:tr>
      <w:tr w:rsidR="00216923" w:rsidRPr="00216923" w:rsidTr="00216923">
        <w:trPr>
          <w:trHeight w:val="609"/>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lastRenderedPageBreak/>
              <w:t>Требование к поручительству РГО</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Срок действия поручительства РГО не может быть меньше срока действия гарантии минус 120 дней</w:t>
            </w:r>
          </w:p>
        </w:tc>
      </w:tr>
      <w:tr w:rsidR="00216923" w:rsidRPr="00216923" w:rsidTr="00216923">
        <w:trPr>
          <w:trHeight w:val="747"/>
        </w:trPr>
        <w:tc>
          <w:tcPr>
            <w:tcW w:w="4518" w:type="dxa"/>
            <w:tcBorders>
              <w:left w:val="single" w:sz="8" w:space="0" w:color="000000"/>
              <w:bottom w:val="single" w:sz="8" w:space="0" w:color="000000"/>
              <w:right w:val="single" w:sz="8" w:space="0" w:color="000000"/>
            </w:tcBorders>
            <w:shd w:val="clear" w:color="auto" w:fill="FFFFFF"/>
            <w:vAlign w:val="center"/>
            <w:hideMark/>
          </w:tcPr>
          <w:p w:rsidR="00216923" w:rsidRPr="00216923" w:rsidRDefault="00216923" w:rsidP="00216923">
            <w:pPr>
              <w:spacing w:before="100" w:beforeAutospacing="1" w:after="300" w:line="360" w:lineRule="atLeast"/>
              <w:ind w:firstLine="152"/>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b/>
                <w:bCs/>
                <w:color w:val="373E48"/>
                <w:sz w:val="24"/>
                <w:szCs w:val="24"/>
                <w:lang w:eastAsia="ru-RU"/>
              </w:rPr>
              <w:t>Гарантийный случай</w:t>
            </w:r>
          </w:p>
        </w:tc>
        <w:tc>
          <w:tcPr>
            <w:tcW w:w="10425" w:type="dxa"/>
            <w:gridSpan w:val="3"/>
            <w:tcBorders>
              <w:bottom w:val="single" w:sz="8" w:space="0" w:color="000000"/>
              <w:right w:val="single" w:sz="8" w:space="0" w:color="000000"/>
            </w:tcBorders>
            <w:vAlign w:val="center"/>
            <w:hideMark/>
          </w:tcPr>
          <w:p w:rsidR="00216923" w:rsidRPr="00216923" w:rsidRDefault="00216923" w:rsidP="00216923">
            <w:pPr>
              <w:spacing w:before="100" w:beforeAutospacing="1" w:after="300" w:line="360" w:lineRule="atLeast"/>
              <w:ind w:right="191" w:firstLine="170"/>
              <w:jc w:val="both"/>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 при условии целевого использования Кредита</w:t>
            </w:r>
          </w:p>
        </w:tc>
      </w:tr>
    </w:tbl>
    <w:p w:rsidR="00216923" w:rsidRPr="00216923" w:rsidRDefault="00216923" w:rsidP="00216923">
      <w:pPr>
        <w:spacing w:before="100" w:beforeAutospacing="1" w:after="300" w:line="360" w:lineRule="atLeast"/>
        <w:rPr>
          <w:rFonts w:ascii="Times New Roman" w:eastAsia="Times New Roman" w:hAnsi="Times New Roman" w:cs="Times New Roman"/>
          <w:color w:val="373E48"/>
          <w:sz w:val="24"/>
          <w:szCs w:val="24"/>
          <w:lang w:eastAsia="ru-RU"/>
        </w:rPr>
      </w:pPr>
      <w:r w:rsidRPr="00216923">
        <w:rPr>
          <w:rFonts w:ascii="Times New Roman" w:eastAsia="Times New Roman" w:hAnsi="Times New Roman" w:cs="Times New Roman"/>
          <w:color w:val="373E48"/>
          <w:sz w:val="24"/>
          <w:szCs w:val="24"/>
          <w:lang w:eastAsia="ru-RU"/>
        </w:rPr>
        <w:t> </w:t>
      </w:r>
    </w:p>
    <w:p w:rsidR="00D466C7" w:rsidRPr="00216923" w:rsidRDefault="00D466C7">
      <w:pPr>
        <w:rPr>
          <w:rFonts w:ascii="Times New Roman" w:hAnsi="Times New Roman" w:cs="Times New Roman"/>
          <w:sz w:val="24"/>
          <w:szCs w:val="24"/>
        </w:rPr>
      </w:pPr>
    </w:p>
    <w:sectPr w:rsidR="00D466C7" w:rsidRPr="00216923" w:rsidSect="00216923">
      <w:headerReference w:type="default" r:id="rId7"/>
      <w:footerReference w:type="default" r:id="rId8"/>
      <w:pgSz w:w="16838" w:h="11906" w:orient="landscape"/>
      <w:pgMar w:top="284" w:right="1134" w:bottom="26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38" w:rsidRDefault="00AA2A38" w:rsidP="00216923">
      <w:pPr>
        <w:spacing w:after="0" w:line="240" w:lineRule="auto"/>
      </w:pPr>
      <w:r>
        <w:separator/>
      </w:r>
    </w:p>
  </w:endnote>
  <w:endnote w:type="continuationSeparator" w:id="0">
    <w:p w:rsidR="00AA2A38" w:rsidRDefault="00AA2A38" w:rsidP="0021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1793"/>
      <w:docPartObj>
        <w:docPartGallery w:val="Page Numbers (Bottom of Page)"/>
        <w:docPartUnique/>
      </w:docPartObj>
    </w:sdtPr>
    <w:sdtEndPr/>
    <w:sdtContent>
      <w:p w:rsidR="00216923" w:rsidRDefault="00216923">
        <w:pPr>
          <w:pStyle w:val="a5"/>
          <w:jc w:val="right"/>
        </w:pPr>
        <w:r>
          <w:fldChar w:fldCharType="begin"/>
        </w:r>
        <w:r>
          <w:instrText>PAGE   \* MERGEFORMAT</w:instrText>
        </w:r>
        <w:r>
          <w:fldChar w:fldCharType="separate"/>
        </w:r>
        <w:r w:rsidR="000B39E9">
          <w:rPr>
            <w:noProof/>
          </w:rPr>
          <w:t>7</w:t>
        </w:r>
        <w:r>
          <w:fldChar w:fldCharType="end"/>
        </w:r>
      </w:p>
    </w:sdtContent>
  </w:sdt>
  <w:p w:rsidR="00216923" w:rsidRDefault="002169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38" w:rsidRDefault="00AA2A38" w:rsidP="00216923">
      <w:pPr>
        <w:spacing w:after="0" w:line="240" w:lineRule="auto"/>
      </w:pPr>
      <w:r>
        <w:separator/>
      </w:r>
    </w:p>
  </w:footnote>
  <w:footnote w:type="continuationSeparator" w:id="0">
    <w:p w:rsidR="00AA2A38" w:rsidRDefault="00AA2A38" w:rsidP="00216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23" w:rsidRDefault="00216923" w:rsidP="00216923">
    <w:pPr>
      <w:pStyle w:val="a3"/>
      <w:jc w:val="right"/>
    </w:pPr>
    <w:r>
      <w:t xml:space="preserve">Приложение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23"/>
    <w:rsid w:val="000B39E9"/>
    <w:rsid w:val="00216923"/>
    <w:rsid w:val="00A75F35"/>
    <w:rsid w:val="00AA2A38"/>
    <w:rsid w:val="00D4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9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923"/>
  </w:style>
  <w:style w:type="paragraph" w:styleId="a5">
    <w:name w:val="footer"/>
    <w:basedOn w:val="a"/>
    <w:link w:val="a6"/>
    <w:uiPriority w:val="99"/>
    <w:unhideWhenUsed/>
    <w:rsid w:val="002169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6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9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6923"/>
  </w:style>
  <w:style w:type="paragraph" w:styleId="a5">
    <w:name w:val="footer"/>
    <w:basedOn w:val="a"/>
    <w:link w:val="a6"/>
    <w:uiPriority w:val="99"/>
    <w:unhideWhenUsed/>
    <w:rsid w:val="002169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Маркелова Оксана Анатольевна</dc:creator>
  <cp:lastModifiedBy>Чупрова Т. И.</cp:lastModifiedBy>
  <cp:revision>2</cp:revision>
  <dcterms:created xsi:type="dcterms:W3CDTF">2017-09-27T07:09:00Z</dcterms:created>
  <dcterms:modified xsi:type="dcterms:W3CDTF">2017-09-27T07:09:00Z</dcterms:modified>
</cp:coreProperties>
</file>