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5F" w:rsidRPr="0007015F" w:rsidRDefault="0007015F" w:rsidP="0007015F">
      <w:pPr>
        <w:framePr w:hSpace="141" w:wrap="auto" w:vAnchor="text" w:hAnchor="page" w:x="6147" w:y="12"/>
      </w:pPr>
      <w:r w:rsidRPr="0007015F">
        <w:rPr>
          <w:noProof/>
        </w:rPr>
        <w:drawing>
          <wp:inline distT="0" distB="0" distL="0" distR="0" wp14:anchorId="75CC2DC8" wp14:editId="35055947">
            <wp:extent cx="5810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07015F" w:rsidRPr="0007015F" w:rsidTr="00C40BE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15F" w:rsidRPr="0007015F" w:rsidRDefault="0007015F" w:rsidP="0007015F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15F">
              <w:rPr>
                <w:rFonts w:ascii="Times New Roman" w:hAnsi="Times New Roman" w:cs="Times New Roman"/>
                <w:color w:val="auto"/>
              </w:rPr>
              <w:t>АДМИНИСТРАЦИЯ</w:t>
            </w:r>
          </w:p>
          <w:p w:rsidR="0007015F" w:rsidRPr="0007015F" w:rsidRDefault="0007015F" w:rsidP="0007015F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15F">
              <w:rPr>
                <w:rFonts w:ascii="Times New Roman" w:hAnsi="Times New Roman" w:cs="Times New Roman"/>
                <w:color w:val="auto"/>
              </w:rPr>
              <w:t>МУНИЦИПАЛЬНОГО ОБРАЗОВАНИЯ</w:t>
            </w:r>
          </w:p>
          <w:p w:rsidR="0007015F" w:rsidRPr="0007015F" w:rsidRDefault="0007015F" w:rsidP="0007015F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15F">
              <w:rPr>
                <w:rFonts w:ascii="Times New Roman" w:hAnsi="Times New Roman" w:cs="Times New Roman"/>
                <w:color w:val="auto"/>
              </w:rPr>
              <w:t>ГОРОДСКОГО ОКРУГА</w:t>
            </w:r>
          </w:p>
          <w:p w:rsidR="0007015F" w:rsidRPr="0007015F" w:rsidRDefault="0007015F" w:rsidP="0007015F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15F">
              <w:rPr>
                <w:rFonts w:ascii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07015F">
              <w:rPr>
                <w:rFonts w:ascii="Times New Roman" w:hAnsi="Times New Roman" w:cs="Times New Roman"/>
                <w:lang w:val="ru"/>
              </w:rPr>
              <w:t>«УХТА»</w:t>
            </w:r>
          </w:p>
          <w:p w:rsidR="0007015F" w:rsidRPr="0007015F" w:rsidRDefault="0007015F" w:rsidP="0007015F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07015F">
              <w:rPr>
                <w:rFonts w:ascii="Times New Roman" w:hAnsi="Times New Roman" w:cs="Times New Roman"/>
                <w:lang w:val="ru"/>
              </w:rPr>
              <w:t>КАР  КЫТШЛÖН</w:t>
            </w:r>
          </w:p>
          <w:p w:rsidR="0007015F" w:rsidRPr="0007015F" w:rsidRDefault="0007015F" w:rsidP="0007015F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15F">
              <w:rPr>
                <w:rFonts w:ascii="Times New Roman" w:hAnsi="Times New Roman" w:cs="Times New Roman"/>
                <w:color w:val="auto"/>
              </w:rPr>
              <w:t>МУНИЦИПАЛЬНÖЙ  ЮКÖНСА</w:t>
            </w:r>
          </w:p>
          <w:p w:rsidR="0007015F" w:rsidRPr="0007015F" w:rsidRDefault="0007015F" w:rsidP="0007015F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07015F">
              <w:rPr>
                <w:rFonts w:ascii="Times New Roman" w:hAnsi="Times New Roman" w:cs="Times New Roman"/>
                <w:lang w:val="ru"/>
              </w:rPr>
              <w:t>АДМИНИСТРАЦИЯ</w:t>
            </w:r>
          </w:p>
          <w:p w:rsidR="0007015F" w:rsidRPr="0007015F" w:rsidRDefault="0007015F" w:rsidP="0007015F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</w:tr>
      <w:tr w:rsidR="0007015F" w:rsidRPr="0007015F" w:rsidTr="00C40BEA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07015F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07015F" w:rsidRPr="0007015F" w:rsidRDefault="0007015F" w:rsidP="0007015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proofErr w:type="gramStart"/>
            <w:r w:rsidRPr="0007015F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  <w:proofErr w:type="gramEnd"/>
          </w:p>
          <w:p w:rsidR="0007015F" w:rsidRPr="0007015F" w:rsidRDefault="0007015F" w:rsidP="0007015F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015F" w:rsidRPr="0007015F" w:rsidTr="00C40BEA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015F" w:rsidRPr="0007015F" w:rsidRDefault="0007015F" w:rsidP="0007015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07015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14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015F" w:rsidRPr="0007015F" w:rsidRDefault="0007015F" w:rsidP="0007015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07015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015F" w:rsidRPr="0007015F" w:rsidRDefault="0007015F" w:rsidP="0007015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5F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15F" w:rsidRPr="0007015F" w:rsidTr="00C40BEA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015F" w:rsidRPr="0007015F" w:rsidRDefault="0007015F" w:rsidP="0007015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07015F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15F" w:rsidRPr="0007015F" w:rsidRDefault="0007015F" w:rsidP="0007015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</w:tr>
    </w:tbl>
    <w:p w:rsidR="0007015F" w:rsidRPr="008B76CD" w:rsidRDefault="0007015F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6613EC" w:rsidRDefault="006613EC" w:rsidP="0007015F">
      <w:pPr>
        <w:shd w:val="clear" w:color="auto" w:fill="FFFFFF"/>
        <w:ind w:right="439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13EC">
        <w:rPr>
          <w:rFonts w:ascii="Times New Roman" w:hAnsi="Times New Roman" w:cs="Times New Roman"/>
          <w:sz w:val="28"/>
          <w:szCs w:val="28"/>
        </w:rPr>
        <w:t>Об одобрении прогноза социально-экономического</w:t>
      </w:r>
      <w:r w:rsidR="008D1DBB">
        <w:rPr>
          <w:rFonts w:ascii="Times New Roman" w:hAnsi="Times New Roman" w:cs="Times New Roman"/>
          <w:sz w:val="28"/>
          <w:szCs w:val="28"/>
        </w:rPr>
        <w:t xml:space="preserve"> </w:t>
      </w:r>
      <w:r w:rsidRPr="006613EC">
        <w:rPr>
          <w:rFonts w:ascii="Times New Roman" w:hAnsi="Times New Roman" w:cs="Times New Roman"/>
          <w:sz w:val="28"/>
          <w:szCs w:val="28"/>
        </w:rPr>
        <w:t>развития муниципального образования городского округа «Ухта» на</w:t>
      </w:r>
      <w:r w:rsidR="00322376">
        <w:rPr>
          <w:rFonts w:ascii="Times New Roman" w:hAnsi="Times New Roman" w:cs="Times New Roman"/>
          <w:sz w:val="28"/>
          <w:szCs w:val="28"/>
        </w:rPr>
        <w:t xml:space="preserve"> 202</w:t>
      </w:r>
      <w:r w:rsidR="00944A6F">
        <w:rPr>
          <w:rFonts w:ascii="Times New Roman" w:hAnsi="Times New Roman" w:cs="Times New Roman"/>
          <w:sz w:val="28"/>
          <w:szCs w:val="28"/>
        </w:rPr>
        <w:t>3</w:t>
      </w:r>
      <w:r w:rsidR="00322376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6613EC">
        <w:rPr>
          <w:rFonts w:ascii="Times New Roman" w:hAnsi="Times New Roman" w:cs="Times New Roman"/>
          <w:sz w:val="28"/>
          <w:szCs w:val="28"/>
        </w:rPr>
        <w:t>период до 20</w:t>
      </w:r>
      <w:r w:rsidR="00322376">
        <w:rPr>
          <w:rFonts w:ascii="Times New Roman" w:hAnsi="Times New Roman" w:cs="Times New Roman"/>
          <w:sz w:val="28"/>
          <w:szCs w:val="28"/>
        </w:rPr>
        <w:t>2</w:t>
      </w:r>
      <w:r w:rsidR="00944A6F">
        <w:rPr>
          <w:rFonts w:ascii="Times New Roman" w:hAnsi="Times New Roman" w:cs="Times New Roman"/>
          <w:sz w:val="28"/>
          <w:szCs w:val="28"/>
        </w:rPr>
        <w:t>5</w:t>
      </w:r>
      <w:r w:rsidRPr="006613EC">
        <w:rPr>
          <w:rFonts w:ascii="Times New Roman" w:hAnsi="Times New Roman" w:cs="Times New Roman"/>
          <w:sz w:val="28"/>
          <w:szCs w:val="28"/>
        </w:rPr>
        <w:t xml:space="preserve"> года</w:t>
      </w:r>
    </w:p>
    <w:bookmarkEnd w:id="0"/>
    <w:p w:rsidR="00322376" w:rsidRDefault="00322376" w:rsidP="00322376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22376" w:rsidRPr="00322376" w:rsidRDefault="00322376" w:rsidP="0007015F">
      <w:pPr>
        <w:pStyle w:val="a9"/>
        <w:shd w:val="clear" w:color="auto" w:fill="FFFFFF"/>
        <w:tabs>
          <w:tab w:val="left" w:pos="398"/>
        </w:tabs>
        <w:spacing w:after="12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C88">
        <w:rPr>
          <w:rFonts w:ascii="Times New Roman" w:hAnsi="Times New Roman" w:cs="Times New Roman"/>
          <w:sz w:val="28"/>
          <w:szCs w:val="28"/>
        </w:rPr>
        <w:t xml:space="preserve"> </w:t>
      </w:r>
      <w:r w:rsidR="00912C88" w:rsidRPr="00912C88">
        <w:rPr>
          <w:rFonts w:ascii="Times New Roman" w:hAnsi="Times New Roman" w:cs="Times New Roman"/>
          <w:sz w:val="28"/>
          <w:szCs w:val="28"/>
        </w:rPr>
        <w:t>Федеральным законом от 28</w:t>
      </w:r>
      <w:r w:rsidR="00912C88">
        <w:rPr>
          <w:rFonts w:ascii="Times New Roman" w:hAnsi="Times New Roman" w:cs="Times New Roman"/>
          <w:sz w:val="28"/>
          <w:szCs w:val="28"/>
        </w:rPr>
        <w:t>.06.</w:t>
      </w:r>
      <w:r w:rsidR="0007015F">
        <w:rPr>
          <w:rFonts w:ascii="Times New Roman" w:hAnsi="Times New Roman" w:cs="Times New Roman"/>
          <w:sz w:val="28"/>
          <w:szCs w:val="28"/>
        </w:rPr>
        <w:t>2014</w:t>
      </w:r>
      <w:r w:rsidR="00912C88" w:rsidRPr="00912C88">
        <w:rPr>
          <w:rFonts w:ascii="Times New Roman" w:hAnsi="Times New Roman" w:cs="Times New Roman"/>
          <w:sz w:val="28"/>
          <w:szCs w:val="28"/>
        </w:rPr>
        <w:t xml:space="preserve"> </w:t>
      </w:r>
      <w:r w:rsidR="00912C88">
        <w:rPr>
          <w:rFonts w:ascii="Times New Roman" w:hAnsi="Times New Roman" w:cs="Times New Roman"/>
          <w:sz w:val="28"/>
          <w:szCs w:val="28"/>
        </w:rPr>
        <w:t>№</w:t>
      </w:r>
      <w:r w:rsidR="00912C88" w:rsidRPr="00912C88">
        <w:rPr>
          <w:rFonts w:ascii="Times New Roman" w:hAnsi="Times New Roman" w:cs="Times New Roman"/>
          <w:sz w:val="28"/>
          <w:szCs w:val="28"/>
        </w:rPr>
        <w:t xml:space="preserve"> 172-ФЗ </w:t>
      </w:r>
      <w:r w:rsidR="00912C88">
        <w:rPr>
          <w:rFonts w:ascii="Times New Roman" w:hAnsi="Times New Roman" w:cs="Times New Roman"/>
          <w:sz w:val="28"/>
          <w:szCs w:val="28"/>
        </w:rPr>
        <w:t>«</w:t>
      </w:r>
      <w:r w:rsidR="00912C88" w:rsidRPr="00912C88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912C88">
        <w:rPr>
          <w:rFonts w:ascii="Times New Roman" w:hAnsi="Times New Roman" w:cs="Times New Roman"/>
          <w:sz w:val="28"/>
          <w:szCs w:val="28"/>
        </w:rPr>
        <w:t>»,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городского округа «Ухта» от 23</w:t>
      </w:r>
      <w:r w:rsidR="00912C88">
        <w:rPr>
          <w:rFonts w:ascii="Times New Roman" w:hAnsi="Times New Roman" w:cs="Times New Roman"/>
          <w:sz w:val="28"/>
          <w:szCs w:val="28"/>
        </w:rPr>
        <w:t>.08.2</w:t>
      </w:r>
      <w:r w:rsidRPr="00322376">
        <w:rPr>
          <w:rFonts w:ascii="Times New Roman" w:hAnsi="Times New Roman" w:cs="Times New Roman"/>
          <w:sz w:val="28"/>
          <w:szCs w:val="28"/>
        </w:rPr>
        <w:t>017</w:t>
      </w:r>
      <w:r w:rsidR="00912C88">
        <w:rPr>
          <w:rFonts w:ascii="Times New Roman" w:hAnsi="Times New Roman" w:cs="Times New Roman"/>
          <w:sz w:val="28"/>
          <w:szCs w:val="28"/>
        </w:rPr>
        <w:t xml:space="preserve"> </w:t>
      </w:r>
      <w:r w:rsidRPr="00322376">
        <w:rPr>
          <w:rFonts w:ascii="Times New Roman" w:hAnsi="Times New Roman" w:cs="Times New Roman"/>
          <w:sz w:val="28"/>
          <w:szCs w:val="28"/>
        </w:rPr>
        <w:t xml:space="preserve">№ 2943 «Об утверждении </w:t>
      </w:r>
      <w:proofErr w:type="gramStart"/>
      <w:r w:rsidRPr="00322376">
        <w:rPr>
          <w:rFonts w:ascii="Times New Roman" w:hAnsi="Times New Roman" w:cs="Times New Roman"/>
          <w:sz w:val="28"/>
          <w:szCs w:val="28"/>
        </w:rPr>
        <w:t>Порядка разработки прогноза социально-экономического развития муниципального образования городского</w:t>
      </w:r>
      <w:proofErr w:type="gramEnd"/>
      <w:r w:rsidRPr="00322376">
        <w:rPr>
          <w:rFonts w:ascii="Times New Roman" w:hAnsi="Times New Roman" w:cs="Times New Roman"/>
          <w:sz w:val="28"/>
          <w:szCs w:val="28"/>
        </w:rPr>
        <w:t xml:space="preserve"> округа «Ухта» на средне</w:t>
      </w:r>
      <w:r w:rsidR="0005744C">
        <w:rPr>
          <w:rFonts w:ascii="Times New Roman" w:hAnsi="Times New Roman" w:cs="Times New Roman"/>
          <w:sz w:val="28"/>
          <w:szCs w:val="28"/>
        </w:rPr>
        <w:t>срочный и долгосрочный периоды»</w:t>
      </w:r>
      <w:r w:rsidR="0007015F">
        <w:rPr>
          <w:rFonts w:ascii="Times New Roman" w:hAnsi="Times New Roman" w:cs="Times New Roman"/>
          <w:sz w:val="28"/>
          <w:szCs w:val="28"/>
        </w:rPr>
        <w:t>,</w:t>
      </w:r>
      <w:r w:rsidRPr="00322376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322376" w:rsidRPr="00322376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1.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322376">
        <w:rPr>
          <w:rFonts w:ascii="Times New Roman" w:hAnsi="Times New Roman" w:cs="Times New Roman"/>
          <w:sz w:val="28"/>
          <w:szCs w:val="28"/>
        </w:rPr>
        <w:t>Одобрить прогноз социально-экономического развития муниципального образования городского округа «Ухта» на 202</w:t>
      </w:r>
      <w:r w:rsidR="00944A6F">
        <w:rPr>
          <w:rFonts w:ascii="Times New Roman" w:hAnsi="Times New Roman" w:cs="Times New Roman"/>
          <w:sz w:val="28"/>
          <w:szCs w:val="28"/>
        </w:rPr>
        <w:t>3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944A6F">
        <w:rPr>
          <w:rFonts w:ascii="Times New Roman" w:hAnsi="Times New Roman" w:cs="Times New Roman"/>
          <w:sz w:val="28"/>
          <w:szCs w:val="28"/>
        </w:rPr>
        <w:t>5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 согласно приложению к настоящему постановлению.</w:t>
      </w:r>
    </w:p>
    <w:p w:rsidR="00322376" w:rsidRPr="00322376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2.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912C88">
        <w:rPr>
          <w:rFonts w:ascii="Times New Roman" w:hAnsi="Times New Roman" w:cs="Times New Roman"/>
          <w:sz w:val="28"/>
          <w:szCs w:val="28"/>
        </w:rPr>
        <w:t>Отменить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МОГО «Ухта»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4A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237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2376">
        <w:rPr>
          <w:rFonts w:ascii="Times New Roman" w:hAnsi="Times New Roman" w:cs="Times New Roman"/>
          <w:sz w:val="28"/>
          <w:szCs w:val="28"/>
        </w:rPr>
        <w:t>.20</w:t>
      </w:r>
      <w:r w:rsidR="008D3FA3">
        <w:rPr>
          <w:rFonts w:ascii="Times New Roman" w:hAnsi="Times New Roman" w:cs="Times New Roman"/>
          <w:sz w:val="28"/>
          <w:szCs w:val="28"/>
        </w:rPr>
        <w:t>2</w:t>
      </w:r>
      <w:r w:rsidR="00944A6F">
        <w:rPr>
          <w:rFonts w:ascii="Times New Roman" w:hAnsi="Times New Roman" w:cs="Times New Roman"/>
          <w:sz w:val="28"/>
          <w:szCs w:val="28"/>
        </w:rPr>
        <w:t>1</w:t>
      </w:r>
      <w:r w:rsidRPr="00322376">
        <w:rPr>
          <w:rFonts w:ascii="Times New Roman" w:hAnsi="Times New Roman" w:cs="Times New Roman"/>
          <w:sz w:val="28"/>
          <w:szCs w:val="28"/>
        </w:rPr>
        <w:t xml:space="preserve"> № 2</w:t>
      </w:r>
      <w:r w:rsidR="008D3FA3">
        <w:rPr>
          <w:rFonts w:ascii="Times New Roman" w:hAnsi="Times New Roman" w:cs="Times New Roman"/>
          <w:sz w:val="28"/>
          <w:szCs w:val="28"/>
        </w:rPr>
        <w:t>57</w:t>
      </w:r>
      <w:r w:rsidR="00944A6F">
        <w:rPr>
          <w:rFonts w:ascii="Times New Roman" w:hAnsi="Times New Roman" w:cs="Times New Roman"/>
          <w:sz w:val="28"/>
          <w:szCs w:val="28"/>
        </w:rPr>
        <w:t>1</w:t>
      </w:r>
      <w:r w:rsidRPr="00322376">
        <w:rPr>
          <w:rFonts w:ascii="Times New Roman" w:hAnsi="Times New Roman" w:cs="Times New Roman"/>
          <w:sz w:val="28"/>
          <w:szCs w:val="28"/>
        </w:rPr>
        <w:t xml:space="preserve"> «Об одобрении прогноза социально</w:t>
      </w:r>
      <w:r w:rsidR="00740BD4">
        <w:rPr>
          <w:rFonts w:ascii="Times New Roman" w:hAnsi="Times New Roman" w:cs="Times New Roman"/>
          <w:sz w:val="28"/>
          <w:szCs w:val="28"/>
        </w:rPr>
        <w:t xml:space="preserve"> </w:t>
      </w:r>
      <w:r w:rsidRPr="00322376">
        <w:rPr>
          <w:rFonts w:ascii="Times New Roman" w:hAnsi="Times New Roman" w:cs="Times New Roman"/>
          <w:sz w:val="28"/>
          <w:szCs w:val="28"/>
        </w:rPr>
        <w:t>- экономического развития муниципального образования городского округа «Ухта»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4A6F">
        <w:rPr>
          <w:rFonts w:ascii="Times New Roman" w:hAnsi="Times New Roman" w:cs="Times New Roman"/>
          <w:sz w:val="28"/>
          <w:szCs w:val="28"/>
        </w:rPr>
        <w:t>2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944A6F">
        <w:rPr>
          <w:rFonts w:ascii="Times New Roman" w:hAnsi="Times New Roman" w:cs="Times New Roman"/>
          <w:sz w:val="28"/>
          <w:szCs w:val="28"/>
        </w:rPr>
        <w:t>4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AB7B27" w:rsidRPr="006613EC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3.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322376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портале администрации МОГО «Ухта».</w:t>
      </w:r>
    </w:p>
    <w:p w:rsidR="00AB7B27" w:rsidRDefault="00AB7B27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3EC" w:rsidRPr="006613EC" w:rsidRDefault="006613EC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4E8D" w:rsidRDefault="0007015F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13E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13EC">
        <w:rPr>
          <w:rFonts w:ascii="Times New Roman" w:hAnsi="Times New Roman" w:cs="Times New Roman"/>
          <w:sz w:val="28"/>
          <w:szCs w:val="28"/>
        </w:rPr>
        <w:t xml:space="preserve"> </w:t>
      </w:r>
      <w:r w:rsidR="007F13A5" w:rsidRPr="006613EC">
        <w:rPr>
          <w:rFonts w:ascii="Times New Roman" w:hAnsi="Times New Roman" w:cs="Times New Roman"/>
          <w:sz w:val="28"/>
          <w:szCs w:val="28"/>
        </w:rPr>
        <w:t>МОГО «Ухта</w:t>
      </w:r>
      <w:r w:rsidR="007F13A5" w:rsidRPr="00F65D4B">
        <w:rPr>
          <w:rFonts w:ascii="Times New Roman" w:hAnsi="Times New Roman" w:cs="Times New Roman"/>
          <w:sz w:val="28"/>
          <w:szCs w:val="28"/>
        </w:rPr>
        <w:t>» -</w:t>
      </w:r>
      <w:r w:rsidR="006B4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AB7B27" w:rsidRDefault="007F13A5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65D4B">
        <w:rPr>
          <w:rFonts w:ascii="Times New Roman" w:hAnsi="Times New Roman" w:cs="Times New Roman"/>
          <w:sz w:val="28"/>
          <w:szCs w:val="28"/>
        </w:rPr>
        <w:t xml:space="preserve">администрации МОГО «Ухта»      </w:t>
      </w:r>
      <w:r w:rsidR="00AB7B27" w:rsidRPr="00F65D4B">
        <w:rPr>
          <w:rFonts w:ascii="Times New Roman" w:hAnsi="Times New Roman" w:cs="Times New Roman"/>
          <w:sz w:val="28"/>
          <w:szCs w:val="28"/>
        </w:rPr>
        <w:t xml:space="preserve">   </w:t>
      </w:r>
      <w:r w:rsidR="00D80D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E8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80DD7">
        <w:rPr>
          <w:rFonts w:ascii="Times New Roman" w:hAnsi="Times New Roman" w:cs="Times New Roman"/>
          <w:sz w:val="28"/>
          <w:szCs w:val="28"/>
        </w:rPr>
        <w:t xml:space="preserve">   </w:t>
      </w:r>
      <w:r w:rsidR="00AB7B27" w:rsidRPr="00F65D4B">
        <w:rPr>
          <w:rFonts w:ascii="Times New Roman" w:hAnsi="Times New Roman" w:cs="Times New Roman"/>
          <w:sz w:val="28"/>
          <w:szCs w:val="28"/>
        </w:rPr>
        <w:t xml:space="preserve">  </w:t>
      </w:r>
      <w:r w:rsidR="0007015F">
        <w:rPr>
          <w:rFonts w:ascii="Times New Roman" w:hAnsi="Times New Roman" w:cs="Times New Roman"/>
          <w:sz w:val="28"/>
          <w:szCs w:val="28"/>
        </w:rPr>
        <w:t>П.П. Артемьев</w:t>
      </w: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E06" w:rsidRDefault="00581E06" w:rsidP="0094235D">
      <w:pPr>
        <w:pStyle w:val="a4"/>
        <w:jc w:val="right"/>
        <w:rPr>
          <w:b w:val="0"/>
          <w:sz w:val="20"/>
          <w:szCs w:val="20"/>
          <w:highlight w:val="yellow"/>
        </w:rPr>
        <w:sectPr w:rsidR="00581E06" w:rsidSect="00F850AF">
          <w:pgSz w:w="11905" w:h="16837"/>
          <w:pgMar w:top="709" w:right="565" w:bottom="1134" w:left="1701" w:header="0" w:footer="6" w:gutter="0"/>
          <w:cols w:space="720"/>
          <w:noEndnote/>
          <w:docGrid w:linePitch="360"/>
        </w:sectPr>
      </w:pPr>
    </w:p>
    <w:p w:rsidR="00AB7B27" w:rsidRDefault="00AB7B27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6B4E8D" w:rsidRDefault="006B4E8D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ED695E" w:rsidRPr="001E11F7" w:rsidRDefault="00ED695E" w:rsidP="0007015F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>Приложение</w:t>
      </w:r>
    </w:p>
    <w:p w:rsidR="00ED695E" w:rsidRPr="001E11F7" w:rsidRDefault="00ED695E" w:rsidP="0007015F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>к постановлению</w:t>
      </w:r>
    </w:p>
    <w:p w:rsidR="00ED695E" w:rsidRPr="001E11F7" w:rsidRDefault="00ED695E" w:rsidP="0007015F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>администрации МОГО «Ухта»</w:t>
      </w:r>
    </w:p>
    <w:p w:rsidR="00ED695E" w:rsidRPr="001E11F7" w:rsidRDefault="00ED695E" w:rsidP="0007015F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 xml:space="preserve">от </w:t>
      </w:r>
      <w:r w:rsidR="0007015F">
        <w:rPr>
          <w:rFonts w:ascii="Times New Roman" w:hAnsi="Times New Roman" w:cs="Times New Roman"/>
        </w:rPr>
        <w:t>14 октября 2022</w:t>
      </w:r>
      <w:r w:rsidRPr="001E11F7">
        <w:rPr>
          <w:rFonts w:ascii="Times New Roman" w:hAnsi="Times New Roman" w:cs="Times New Roman"/>
        </w:rPr>
        <w:t xml:space="preserve"> г. № </w:t>
      </w:r>
      <w:r w:rsidR="0007015F">
        <w:rPr>
          <w:rFonts w:ascii="Times New Roman" w:hAnsi="Times New Roman" w:cs="Times New Roman"/>
        </w:rPr>
        <w:t>2257</w:t>
      </w:r>
    </w:p>
    <w:p w:rsidR="00ED695E" w:rsidRDefault="00ED695E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ED695E" w:rsidRPr="00ED695E" w:rsidRDefault="00ED695E" w:rsidP="00ED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5E">
        <w:rPr>
          <w:rFonts w:ascii="Times New Roman" w:hAnsi="Times New Roman" w:cs="Times New Roman"/>
          <w:b/>
          <w:sz w:val="28"/>
          <w:szCs w:val="28"/>
        </w:rPr>
        <w:t>Прогноз социально-экономического развития муниципального образования городского округа «Ухта»</w:t>
      </w:r>
    </w:p>
    <w:p w:rsidR="00ED695E" w:rsidRDefault="00ED695E" w:rsidP="001E11F7">
      <w:pPr>
        <w:pStyle w:val="a4"/>
      </w:pPr>
      <w:r w:rsidRPr="00ED695E">
        <w:t xml:space="preserve">на </w:t>
      </w:r>
      <w:r w:rsidR="00322376">
        <w:t>202</w:t>
      </w:r>
      <w:r w:rsidR="00944A6F">
        <w:t>3</w:t>
      </w:r>
      <w:r w:rsidR="00322376">
        <w:t xml:space="preserve"> год и на </w:t>
      </w:r>
      <w:r w:rsidRPr="00ED695E">
        <w:t>период до 20</w:t>
      </w:r>
      <w:r w:rsidR="00322376">
        <w:t>2</w:t>
      </w:r>
      <w:r w:rsidR="00944A6F">
        <w:t>5</w:t>
      </w:r>
      <w:r w:rsidRPr="00ED695E">
        <w:t xml:space="preserve"> года</w:t>
      </w:r>
    </w:p>
    <w:p w:rsidR="00322376" w:rsidRDefault="00322376" w:rsidP="00ED695E">
      <w:pPr>
        <w:pStyle w:val="a4"/>
        <w:rPr>
          <w:highlight w:val="yellow"/>
        </w:rPr>
      </w:pPr>
    </w:p>
    <w:p w:rsidR="00322376" w:rsidRDefault="00D95752" w:rsidP="00ED695E">
      <w:pPr>
        <w:pStyle w:val="a4"/>
        <w:rPr>
          <w:highlight w:val="yellow"/>
        </w:rPr>
        <w:sectPr w:rsidR="00322376" w:rsidSect="003D678E">
          <w:pgSz w:w="16837" w:h="11905" w:orient="landscape"/>
          <w:pgMar w:top="567" w:right="426" w:bottom="709" w:left="567" w:header="0" w:footer="6" w:gutter="0"/>
          <w:cols w:space="720"/>
          <w:noEndnote/>
          <w:docGrid w:linePitch="360"/>
        </w:sectPr>
      </w:pPr>
      <w:r w:rsidRPr="00D95752">
        <w:rPr>
          <w:noProof/>
        </w:rPr>
        <w:drawing>
          <wp:inline distT="0" distB="0" distL="0" distR="0" wp14:anchorId="5088A8C2" wp14:editId="25BEFD4F">
            <wp:extent cx="10060940" cy="4174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940" cy="417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488" w:rsidRPr="008A7488">
        <w:rPr>
          <w:highlight w:val="yellow"/>
        </w:rPr>
        <w:t xml:space="preserve"> </w:t>
      </w:r>
    </w:p>
    <w:p w:rsidR="00944A6F" w:rsidRPr="00BF637E" w:rsidRDefault="00944A6F" w:rsidP="00944A6F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lastRenderedPageBreak/>
        <w:t>Приложение</w:t>
      </w:r>
    </w:p>
    <w:p w:rsidR="00944A6F" w:rsidRPr="00BF637E" w:rsidRDefault="00944A6F" w:rsidP="00944A6F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t>к прогнозу социально-экономического развития</w:t>
      </w:r>
    </w:p>
    <w:p w:rsidR="00944A6F" w:rsidRPr="00BF637E" w:rsidRDefault="00944A6F" w:rsidP="00944A6F">
      <w:pPr>
        <w:pStyle w:val="a4"/>
        <w:jc w:val="right"/>
        <w:rPr>
          <w:b w:val="0"/>
          <w:color w:val="000000" w:themeColor="text1"/>
          <w:sz w:val="20"/>
          <w:szCs w:val="20"/>
        </w:rPr>
      </w:pPr>
      <w:r w:rsidRPr="00BF637E">
        <w:rPr>
          <w:b w:val="0"/>
          <w:color w:val="000000" w:themeColor="text1"/>
          <w:sz w:val="20"/>
          <w:szCs w:val="20"/>
        </w:rPr>
        <w:t>муниципального образования городского округа «Ухта»</w:t>
      </w:r>
    </w:p>
    <w:p w:rsidR="00944A6F" w:rsidRPr="00BF637E" w:rsidRDefault="00944A6F" w:rsidP="00944A6F">
      <w:pPr>
        <w:pStyle w:val="a4"/>
        <w:jc w:val="right"/>
        <w:rPr>
          <w:b w:val="0"/>
          <w:color w:val="000000" w:themeColor="text1"/>
        </w:rPr>
      </w:pPr>
      <w:r w:rsidRPr="00BF637E">
        <w:rPr>
          <w:b w:val="0"/>
          <w:color w:val="000000" w:themeColor="text1"/>
          <w:sz w:val="20"/>
          <w:szCs w:val="20"/>
        </w:rPr>
        <w:t>на 2023 год и на период до 2025 года</w:t>
      </w:r>
    </w:p>
    <w:p w:rsidR="00944A6F" w:rsidRPr="00BF637E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4A6F" w:rsidRPr="00B639DD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944A6F" w:rsidRPr="00B639DD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к прогнозу социально-экономического развития МОГО «Ухта» на 2023 год и на период до 2025 года</w:t>
      </w:r>
    </w:p>
    <w:p w:rsidR="00944A6F" w:rsidRPr="00B639DD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социально-экономического развития МОГО «Ухта» на 2023 год и на период до 2025 года (далее - прогноз) </w:t>
      </w:r>
      <w:r w:rsidRPr="00B639DD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разработан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администрации муниципального образования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«Ухта» от 23 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августа 2017 г. № 2943 «Об утверждении Порядка разработки прогноза социально-экономического развития муниципального образования городского округа «Ухта» на среднесрочный и долгосрочный периоды». 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Прогноз представлен в двух вариантах (консервативный и базовый), учитывая вероятностные воздействия внутренних и внешних политических, экономических и иных факторов.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Базовый  вариант  описывает  наиболее  вероятный  сценарий  развития экономики  с  учетом  ожидаемых  внешних  условий  и  принимаемых мер экономической политики на федеральном и региональном уровнях.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Консервативный  вариант  основан  на  предпосылке  о  менее  благоприятной геополитической и санитарно-эпидемиологической  ситуации,  затяжном  восстановлении  экономики  и структурном  замедлении  темпов  ее  роста  в  среднесрочной  перспективе.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2021 году на социально-экономическую ситуацию в </w:t>
      </w:r>
      <w:r w:rsidR="00D95752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муниципальном образовании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как и  в целом в России, продолжало оказывать влияние распространение новой коронавирусной инфекции 2019-nCoV и ограничительные меры, принятые для борьбы с ней.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Наиболее значимые позитивные  итоги  социально-экономического  развития муниципального образования за 2021 год: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производства по видам деятельности «Добыча полезных ископаемых», «Водоснабжение; водоотведение, организация сбора и утилизации отходов, деятельность по ликвидации загрязнений», «Обеспечение электрической энергией, газом и паром; кондиционирование воздуха»;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увеличение среднемесячной заработной платы работников организаций и среднего размера назначенных пенсий; 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уровня безработицы;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доходов бюджета МОГО «Ухта»;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тенденции миграционной убыли населения;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оборота розничной торговли и  общественного питания;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увеличение количества самозанятых граждан, зафиксировавших свой статус, с учетом введения налогового режима для самозанятых;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количества зарегистрированных преступлений.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Наряду с положительными итогами в экономике и социальной сфере наблюдались и негативные, основные из которых: </w:t>
      </w:r>
    </w:p>
    <w:p w:rsidR="00944A6F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сокращение объема инвестиций в основной капитал;</w:t>
      </w:r>
    </w:p>
    <w:p w:rsidR="0007015F" w:rsidRDefault="0007015F" w:rsidP="0007015F">
      <w:pPr>
        <w:suppressAutoHyphens/>
        <w:ind w:firstLine="567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2</w:t>
      </w:r>
    </w:p>
    <w:p w:rsidR="0007015F" w:rsidRPr="00B639DD" w:rsidRDefault="0007015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снижение объемов промышленного производства в целом, в том числе по видам экономической деятельности «Обрабатывающие  производства»; 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сокращение объемов жилищного строительства;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снижение объема платных услуг населению;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снижение количества субъектов малого предпринимательства; 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сокращение пассажирооборота и перевозок пассажиров автобусами по маршрутам регулярных перевозок;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исполнение бюджета МОГО «Ухта» с дефицитом;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сохранение тенденции естественной убыли населения.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Территориального органа федеральной службы государственной статистики по Республике Коми среднегодовая численность населения МОГО «Ухта» составила в 2019 г. - 114,98 тыс. человек, в 2020 г. - 112,98 тыс. человек, 2021 г. - 111,44 тыс. человек. 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Естественное движение населения МОГО «Ухта»</w:t>
      </w:r>
    </w:p>
    <w:p w:rsidR="00944A6F" w:rsidRPr="00BF637E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F637E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BF637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DBBD7A5" wp14:editId="2A4CBD8B">
            <wp:extent cx="4572000" cy="2536723"/>
            <wp:effectExtent l="0" t="0" r="19050" b="1651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4A6F" w:rsidRPr="00BF637E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</w:p>
    <w:p w:rsidR="00944A6F" w:rsidRPr="00BF637E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37E">
        <w:rPr>
          <w:rFonts w:ascii="Times New Roman" w:hAnsi="Times New Roman" w:cs="Times New Roman"/>
          <w:color w:val="000000" w:themeColor="text1"/>
          <w:sz w:val="28"/>
          <w:szCs w:val="28"/>
        </w:rPr>
        <w:t>Миграция населения МОГО «Ухта»</w:t>
      </w:r>
    </w:p>
    <w:p w:rsidR="00944A6F" w:rsidRPr="00BF637E" w:rsidRDefault="00944A6F" w:rsidP="00944A6F">
      <w:pPr>
        <w:suppressAutoHyphens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4A6F" w:rsidRPr="00BF637E" w:rsidRDefault="00944A6F" w:rsidP="00944A6F">
      <w:pPr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BF637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D1046D9" wp14:editId="547AEC5D">
            <wp:extent cx="4830097" cy="2227007"/>
            <wp:effectExtent l="0" t="0" r="27940" b="2095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015F" w:rsidRDefault="0007015F">
      <w:pPr>
        <w:spacing w:after="200" w:line="276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br w:type="page"/>
      </w:r>
    </w:p>
    <w:p w:rsidR="00944A6F" w:rsidRDefault="0007015F" w:rsidP="0007015F">
      <w:pPr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>3</w:t>
      </w:r>
    </w:p>
    <w:p w:rsidR="0007015F" w:rsidRPr="00BF637E" w:rsidRDefault="0007015F" w:rsidP="00944A6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D95752" w:rsidRPr="00B639DD" w:rsidRDefault="00D95752" w:rsidP="00D9575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2022 году, по оценке, среднегодовая численность населения муниципального образования снизится по сравнению с уровнем 2021 года и составит 109,73 тыс. человек. Доминирующей причиной сокращения численности населения продолжает являться миграционный отток населения. Значение показателя миграционной убыли в 2022 году ожидается на уровне 1,0 тыс. человек. </w:t>
      </w:r>
    </w:p>
    <w:p w:rsidR="00944A6F" w:rsidRPr="00B639DD" w:rsidRDefault="00944A6F" w:rsidP="00944A6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среднесрочный период по обоим вариантам прогноза ожидается сохранение тенденции к сокращению численности населения. Продолжатся структурные изменения состава населения. Тенденция старения населения и, соответственно, увеличение доли лиц в возрасте 65 лет и более в общей численности населения не позволят существенно сократить естественную убыль населения, которая прогнозируется к 2025 году на уровне 0,5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- 0,71 тыс. человек  (в 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базовом и 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консервативном вариантах соответственно). К 2025 году миграционная убыль прогнозируется на уровне 0,8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- 0,8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  (в базовом и консервативном вариантах соответственно). В результате среднегодовая численность населения к 2025 году по консервативному варианту составит 104,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72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 По базовому варианту в результате более благоприятных внешних условий и более высокой эффективности реализуемых социальных мер, среднегодовая численность населения в 2025 году составит 10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28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тыс. человек.</w:t>
      </w:r>
    </w:p>
    <w:p w:rsidR="00944A6F" w:rsidRPr="00B639DD" w:rsidRDefault="00944A6F" w:rsidP="00944A6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статистическим данным 2021 года по основным показателям, фиксирующим оплату труда в МОГО «Ухта», произошли следующие изменения: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среднемесячная номинальная начисленная заработная плата работников (без субъектов малого предпринимательства) за 2021 год увеличилась на 4,5% по отношению к уровню 2020 года, составив 73,77 тыс. рублей;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фонд заработной платы, начисленной работникам списочного и несписочного состава в организациях (без субъектов малого предпринимательства) по итогам 2021 года составил 29</w:t>
      </w:r>
      <w:r w:rsidR="00D56A58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67</w:t>
      </w:r>
      <w:r w:rsidR="00D56A58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5,90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 рублей, или 102,6 % к уровню 2020 года.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Положительная динамика значений показателей обусловлена исполнением федерального законодательства об установлении минимального размера оплаты труда не</w:t>
      </w:r>
      <w:r w:rsidR="00A05964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ниже величины  прожиточного минимума трудоспособного населения, достижением и сохранением достигнутых соотношений заработной платы отдельных категорий работников бюджетной сферы, установленных Указами Президента Российской Федерации, а также индексацией оплаты труда.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2022 году</w:t>
      </w:r>
      <w:r w:rsidR="00AE1990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оценке</w:t>
      </w:r>
      <w:r w:rsidR="00AE1990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рост среднемесячной номинальной начисленной заработной платы работников (без субъектов малого предпринимательства) составит 11,2 % к уровню 2021 года, фонда заработной платы, начисленной работникам списочного и несписочного состава в организациях (без субъектов малого предпринимательства) - на 9,</w:t>
      </w:r>
      <w:r w:rsidR="00AE1990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%, который по итогам 2022 года оценивается в размере </w:t>
      </w:r>
      <w:r w:rsidR="00AE1990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32 424,88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млн. рублей.</w:t>
      </w:r>
    </w:p>
    <w:p w:rsidR="0007015F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В среднесрочном периоде ожидается продолжение таких мер государственной политики, как:</w:t>
      </w:r>
    </w:p>
    <w:p w:rsidR="0007015F" w:rsidRDefault="0007015F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44A6F" w:rsidRDefault="0007015F" w:rsidP="0007015F">
      <w:pPr>
        <w:suppressAutoHyphens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</w:p>
    <w:p w:rsidR="0007015F" w:rsidRPr="00B639DD" w:rsidRDefault="0007015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ежегодное установление 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минимального </w:t>
      </w:r>
      <w:proofErr w:type="gramStart"/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размера оплаты труда</w:t>
      </w:r>
      <w:proofErr w:type="gramEnd"/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федеральном уровне в размере не ниже величины прожиточного минимума трудоспособного населения;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достигнутых уровней заработной платы отдельных категорий работников, определенных Указами Президента Российской Федерации, а также проведение ежегодной индексации заработной платы работников организаций бюджетной сферы;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роста уровня пенсионного обеспечения выше уровня инфляции;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индексация социальных выплат, а также развитие форм предоставления социальной помощи нуждающимся гражданам в целях поддержки их потребительского спроса, целевая поддержка отдельных категорий граждан, в частности семей с детьми;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занятости отдельных категорий граждан (женщин, воспитывающих детей, инвалидов, лиц старшего поколения).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принимаемых мер в среднесрочный период ожидается повышение значений показателей, определяющих денежные доходы населения. Так, по итогам 2025 года (в консервативном и базовом вариантах соответственно):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среднемесячная номинальная начисленная заработная плата работников (без субъектов малого предпринимательства)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8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89,69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фонд заработной платы, начисленной работникам списочного и несписочного состава в организациях (без субъектов малого предпринимательства)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31 972,46 - 33 515,74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944A6F" w:rsidRPr="00BF637E" w:rsidRDefault="00944A6F" w:rsidP="00944A6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 новой 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коронавирусной инфекции 2019-nCoV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ограничительные меры, принятые для борьбы с ней, сильно сказались на рынке труда в 2020 году. Уровень зарегистрированной безработицы на конец 2020 года составил 1,19 %. Улучшение эпидемиологической ситуации в  2021 году привело к нормализации обстановки и стабилизации ситуации на рынке труда, уровень зарегистрированной безработицы составил 0,57%.</w:t>
      </w:r>
    </w:p>
    <w:p w:rsidR="00944A6F" w:rsidRPr="00B639DD" w:rsidRDefault="00944A6F" w:rsidP="00944A6F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Показатели, отражающие спрос и предложение рабочей силы</w:t>
      </w:r>
    </w:p>
    <w:p w:rsidR="00944A6F" w:rsidRPr="00BF637E" w:rsidRDefault="00944A6F" w:rsidP="00944A6F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2"/>
        <w:gridCol w:w="1255"/>
        <w:gridCol w:w="1298"/>
        <w:gridCol w:w="1201"/>
      </w:tblGrid>
      <w:tr w:rsidR="00944A6F" w:rsidRPr="00BF637E" w:rsidTr="00661F0A">
        <w:trPr>
          <w:trHeight w:val="480"/>
          <w:jc w:val="center"/>
        </w:trPr>
        <w:tc>
          <w:tcPr>
            <w:tcW w:w="5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 01.01. 2021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 01.01. 2022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 01.08. 2022</w:t>
            </w:r>
          </w:p>
        </w:tc>
      </w:tr>
      <w:tr w:rsidR="00944A6F" w:rsidRPr="00BF637E" w:rsidTr="00661F0A">
        <w:trPr>
          <w:trHeight w:val="390"/>
          <w:jc w:val="center"/>
        </w:trPr>
        <w:tc>
          <w:tcPr>
            <w:tcW w:w="5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Численность ищущих работу граждан, состоящих на регистрационном учете в ГУ РК «ЦЗН г.Ухты», человек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824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401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370</w:t>
            </w:r>
          </w:p>
        </w:tc>
      </w:tr>
      <w:tr w:rsidR="00944A6F" w:rsidRPr="00BF637E" w:rsidTr="00661F0A">
        <w:trPr>
          <w:jc w:val="center"/>
        </w:trPr>
        <w:tc>
          <w:tcPr>
            <w:tcW w:w="5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Численность безработных граждан, состоящих на регистрационном учете в ГУ РК «ЦЗН г.Ухты», человек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691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324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285</w:t>
            </w:r>
          </w:p>
        </w:tc>
      </w:tr>
      <w:tr w:rsidR="00944A6F" w:rsidRPr="00BF637E" w:rsidTr="00661F0A">
        <w:trPr>
          <w:trHeight w:val="285"/>
          <w:jc w:val="center"/>
        </w:trPr>
        <w:tc>
          <w:tcPr>
            <w:tcW w:w="5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Количество вакантных рабочих мест, заявленных работодателями, ед.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1926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2501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4A6F" w:rsidRPr="00BF637E" w:rsidRDefault="00944A6F" w:rsidP="00944A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637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1838</w:t>
            </w:r>
          </w:p>
        </w:tc>
      </w:tr>
    </w:tbl>
    <w:p w:rsidR="00944A6F" w:rsidRPr="00BF637E" w:rsidRDefault="00944A6F" w:rsidP="00944A6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015F" w:rsidRDefault="00944A6F" w:rsidP="0007015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Сравнив значения показателей, отражающих спрос и предложение рабочей силы, можно сделать вывод о стабильно высокой потребности в рабочей силе на территории МОГО «Ухта».</w:t>
      </w:r>
      <w:r w:rsidR="0007015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44A6F" w:rsidRPr="00B639DD" w:rsidRDefault="0007015F" w:rsidP="0007015F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</w:p>
    <w:p w:rsidR="00944A6F" w:rsidRPr="00B639DD" w:rsidRDefault="00944A6F" w:rsidP="00944A6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Период заполнения вакансий определяется следующими факторами:</w:t>
      </w:r>
    </w:p>
    <w:p w:rsidR="00944A6F" w:rsidRPr="00B639DD" w:rsidRDefault="00944A6F" w:rsidP="00944A6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экономической привлекательностью организаций и предприятий;</w:t>
      </w:r>
    </w:p>
    <w:p w:rsidR="00944A6F" w:rsidRPr="00B639DD" w:rsidRDefault="00944A6F" w:rsidP="00944A6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уровнем и регулярностью оплаты труда;</w:t>
      </w:r>
    </w:p>
    <w:p w:rsidR="00944A6F" w:rsidRPr="00B639DD" w:rsidRDefault="00944A6F" w:rsidP="00944A6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условиями труда;</w:t>
      </w:r>
    </w:p>
    <w:p w:rsidR="00944A6F" w:rsidRPr="00B639DD" w:rsidRDefault="00944A6F" w:rsidP="00944A6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B639DD">
        <w:rPr>
          <w:color w:val="000000" w:themeColor="text1"/>
          <w:sz w:val="28"/>
          <w:szCs w:val="28"/>
        </w:rPr>
        <w:t> </w:t>
      </w: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исполнительностью, инициативностью и активностью при поиске работы.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работодателей организаций и предприятий муниципального образования сохраняется кадровая потребность в таких сферах деятельности, как: обрабатывающие производства, транспортировка и хранение, образование, деятельность в области здравоохранения, обеспечение безопасности. 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концу 2021 года  ситуация на рынке труда стабилизировалась и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а протяжении истекшего периода 2022 года остаетс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я стабильной. По состоянию на 1 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202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численность зарегистрированных безработных составляла 285 человек, уровень зарегистрированной безработицы - 0,6%.</w:t>
      </w:r>
    </w:p>
    <w:p w:rsidR="00944A6F" w:rsidRPr="00B639DD" w:rsidRDefault="00944A6F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зарегистрированн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безработиц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концу 2022 года оценивается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уровне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0,6 %. </w:t>
      </w:r>
    </w:p>
    <w:p w:rsidR="00F47878" w:rsidRPr="00B639DD" w:rsidRDefault="00944A6F" w:rsidP="00944A6F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2023-2025  годах  на  фоне  сокращения  численности  населения за счет миграционной убыли, и изменения его возрастной структуры  (значительная  часть покидающих муниципальное образование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трудоспособного возраста) тенденция сокращения численности  трудоспособного населения и занятых  в  экономике  сохранится.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Так в среднесрочном периоде снижение среднесписочной численности работников организаций (без субъектов малого предпринимательства) ожидается с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о значения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за 2022 г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32,92 тыс. человек, до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я в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878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30,86</w:t>
      </w:r>
      <w:r w:rsidR="00B639DD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878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639DD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878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31,14 тыс. человек</w:t>
      </w:r>
      <w:r w:rsidR="00AE1990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878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(в консервативном и базовом вариантах соответственно).</w:t>
      </w:r>
    </w:p>
    <w:p w:rsidR="00944A6F" w:rsidRPr="00B639DD" w:rsidRDefault="00F47878" w:rsidP="00944A6F">
      <w:pPr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Ситуацию на рынке труда</w:t>
      </w:r>
      <w:r w:rsidR="00944A6F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сохранять стабильной,  у</w:t>
      </w:r>
      <w:r w:rsidR="00944A6F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ровень зарегистрированной безработицы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прогнозируется </w:t>
      </w:r>
      <w:r w:rsidR="00944A6F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0,55-0,60 %. 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2D6" w:rsidRPr="00B639DD" w:rsidRDefault="00AC42D6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В оборот организаций включается стоимость отгруженных товаров собственного производства, выполненных работ и услуг собственными силами, а также выручка от продажи приобретенных на стороне товаров (без налога на добавленную стоимость, акцизов и других аналогичных обязательных платежей).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статистическим данным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организаций за 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2021 год увеличился                                 на 5,8 % по сравнению с 2020 годом. Ожидается, что в 2022 году оборот организаций составит  10</w:t>
      </w:r>
      <w:r w:rsidR="00F47878"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,0 % к уровню 2021 года.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среднесрочном периоде 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ожидае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тся, что оборот организаций будет иметь положительную динамику, это будет обусловлено увеличением объемов </w:t>
      </w:r>
      <w:r w:rsidR="00FD31BC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фактически действующих ценах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всем видам деятельности. К 2025 году оборот организаций прогнозируется на уровне (в консервативном и базовом вариантах соответственно) </w:t>
      </w:r>
      <w:r w:rsidR="00FD31BC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430 560,41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BC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1BC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445 966,75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МОГО «Ухта» в 2021 году реализованы такие проекты, как:</w:t>
      </w:r>
    </w:p>
    <w:p w:rsidR="00944A6F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Реконструкция МУ </w:t>
      </w:r>
      <w:proofErr w:type="gramStart"/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proofErr w:type="gramEnd"/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творчества имени Г.А. Карчевского» и ГБУЗ РК «Ухтинская детская больница»</w:t>
      </w:r>
    </w:p>
    <w:p w:rsidR="0007015F" w:rsidRDefault="0007015F" w:rsidP="0007015F">
      <w:pPr>
        <w:suppressAutoHyphens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</w:p>
    <w:p w:rsidR="0007015F" w:rsidRPr="00B639DD" w:rsidRDefault="0007015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suppressAutoHyphens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физкультурно-оздоровительного комплекса в пгт Ярега МОГО «Ухта», скульптурной композиции «Пламя» с элементами благоустройства в пгт Ярега, детской площадки «Детская АЗС» в пгт Ярега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продолж</w:t>
      </w:r>
      <w:r w:rsidR="00AC42D6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ае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тся реализация: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«Разработка Ярегского нефтяного месторождения» - ООО «ЛУКОЙЛ-Коми»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объекта: «Магистральный водовод Ду=600 мм от камеры по ул. Школьной 1а до камеры у дома № 14 по пр. Зерюнова протяженностью 4,6 км» - МУП «Ухтаводоканал»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наружных сетей водопровода по объекту «Индивидуальная застройка жилого района «Нагорный» (п. УРМЗ) с инженерными сетями» - МУП «Ухтаводоканал»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наружных сетей канализации по объекту «Индивидуальная застройка жилого района «Нагорный» (п. УРМЗ) с инженерными сетями» - МУП «Ухтаводоканал»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«Корректив рабочего проекта с разработкой проектно-сметной документации и строительство объекта: «Самотечный коллектор от канализационной насосной станции «Тиман» в г.Ухте» - МУП «Ухтаводоканал» 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Инвестиционная программа Филиала Коми ПАО «Т Плюс» на территории МОГО «Ухта» на 2021 - 2023 гг. в сфере теплоснабжения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станции водоочистки с созданием системы управления комплексом водоснабжения в «Пожня-Ель» г. Ухта 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объекта «Физкультурно-оздоровительный комплекс единоборств, г. Ухта»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блочной котельной в пгт Ярега (в рамках соглашения о сотрудничестве между Правительством Республики Коми и П</w:t>
      </w:r>
      <w:r w:rsidR="00D56A58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АО «Нефтяная компания «ЛУКОЙЛ»).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Планируется: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объездной дороги от проспекта А.И. Зерюнова до автодороги Сыктывкар-Ухта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уличной дорожной сети инд</w:t>
      </w:r>
      <w:r w:rsidR="00D56A58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ивидуальной жилой застройки пст 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Веселый Кут (заключено соглашение Министерством сельского хозяйства</w:t>
      </w:r>
      <w:r w:rsidR="00D56A58"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и потребительского рынка Республики Коми)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фельдшерско-акушерского пункта в пст Кэмдин (в рамках государственной программы Республики Коми «Развитие здравоохранения»)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средней общеобразовательной школы в г. Ухта на 400 мест.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44A6F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среднесрочном периоде инвестиционная деятельность организаций будет зависеть как от общеэкономической ситуации в стране, так и от проводимых в республике и муниципальном образовании мероприятий по формированию благоприятных условий для ведения бизнеса и улучшению состояния инвестиционного климата</w:t>
      </w: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7015F" w:rsidRDefault="0007015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015F" w:rsidRDefault="0007015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015F" w:rsidRDefault="0007015F" w:rsidP="0007015F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</w:t>
      </w:r>
    </w:p>
    <w:p w:rsidR="0007015F" w:rsidRPr="00B639DD" w:rsidRDefault="0007015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9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Росту инвестиционной активности будут способствовать снижение ставок по кредитам, повышение финансовой устойчивости предприятий и экономической уверенности производителей в условиях ожидания восстановления спроса на продукцию. </w:t>
      </w:r>
    </w:p>
    <w:p w:rsidR="00944A6F" w:rsidRPr="00B639DD" w:rsidRDefault="00944A6F" w:rsidP="00944A6F">
      <w:pPr>
        <w:autoSpaceDE w:val="0"/>
        <w:autoSpaceDN w:val="0"/>
        <w:adjustRightInd w:val="0"/>
        <w:ind w:firstLine="539"/>
        <w:jc w:val="both"/>
        <w:rPr>
          <w:rStyle w:val="ae"/>
          <w:rFonts w:eastAsia="Arial Unicode MS"/>
          <w:b w:val="0"/>
          <w:color w:val="000000" w:themeColor="text1"/>
          <w:sz w:val="28"/>
          <w:szCs w:val="28"/>
        </w:rPr>
      </w:pPr>
      <w:r w:rsidRPr="00B639DD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Ожидаемый в 2025 году объем инвестиций составит по консервативному варианту прогноза </w:t>
      </w:r>
      <w:r w:rsidR="00FD31BC" w:rsidRPr="00B639DD">
        <w:rPr>
          <w:rStyle w:val="ae"/>
          <w:rFonts w:eastAsia="Arial Unicode MS"/>
          <w:b w:val="0"/>
          <w:color w:val="000000" w:themeColor="text1"/>
          <w:sz w:val="28"/>
          <w:szCs w:val="28"/>
        </w:rPr>
        <w:t>25 857,37</w:t>
      </w:r>
      <w:r w:rsidRPr="00B639DD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млн. рублей, по базовому варианту - </w:t>
      </w:r>
      <w:r w:rsidR="00FD31BC" w:rsidRPr="00B639DD">
        <w:rPr>
          <w:rStyle w:val="ae"/>
          <w:rFonts w:eastAsia="Arial Unicode MS"/>
          <w:b w:val="0"/>
          <w:color w:val="000000" w:themeColor="text1"/>
          <w:sz w:val="28"/>
          <w:szCs w:val="28"/>
        </w:rPr>
        <w:t>26 596,25</w:t>
      </w:r>
      <w:r w:rsidRPr="00B639DD">
        <w:rPr>
          <w:rStyle w:val="ae"/>
          <w:rFonts w:eastAsia="Arial Unicode MS"/>
          <w:b w:val="0"/>
          <w:color w:val="000000" w:themeColor="text1"/>
          <w:sz w:val="28"/>
          <w:szCs w:val="28"/>
        </w:rPr>
        <w:t xml:space="preserve"> млн. рублей.</w:t>
      </w:r>
    </w:p>
    <w:p w:rsidR="00D95752" w:rsidRPr="00B639DD" w:rsidRDefault="00D95752" w:rsidP="00D95752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 2022 году, как и в 2021 году, муниципальное образование принимает участие в реализации региональных проектов Республики Коми</w:t>
      </w:r>
      <w:r w:rsidRPr="00B6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реализации мероприятий муниципальных программ МОГО «Ухта»</w:t>
      </w:r>
      <w:r w:rsidRPr="00B63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Реализация отдельных мероприятий региональных проектов продолжится в прогнозном периоде.</w:t>
      </w:r>
    </w:p>
    <w:p w:rsidR="00D95752" w:rsidRPr="00944A6F" w:rsidRDefault="00D95752" w:rsidP="00944A6F">
      <w:pPr>
        <w:autoSpaceDE w:val="0"/>
        <w:autoSpaceDN w:val="0"/>
        <w:adjustRightInd w:val="0"/>
        <w:ind w:firstLine="539"/>
        <w:jc w:val="both"/>
        <w:rPr>
          <w:rStyle w:val="ae"/>
          <w:rFonts w:eastAsia="Arial Unicode MS"/>
          <w:b w:val="0"/>
          <w:color w:val="000000" w:themeColor="text1"/>
          <w:sz w:val="28"/>
          <w:szCs w:val="28"/>
        </w:rPr>
      </w:pPr>
    </w:p>
    <w:p w:rsidR="00EC2E00" w:rsidRPr="00D56A58" w:rsidRDefault="00EC2E00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6A58" w:rsidRDefault="00D56A58" w:rsidP="00944A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D56A58" w:rsidSect="0007015F">
      <w:pgSz w:w="11905" w:h="16837"/>
      <w:pgMar w:top="567" w:right="567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B1"/>
    <w:multiLevelType w:val="hybridMultilevel"/>
    <w:tmpl w:val="1B0A93A8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5A0965"/>
    <w:multiLevelType w:val="hybridMultilevel"/>
    <w:tmpl w:val="11789FDA"/>
    <w:lvl w:ilvl="0" w:tplc="FEEEA002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EA1285"/>
    <w:multiLevelType w:val="hybridMultilevel"/>
    <w:tmpl w:val="725E19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8C1B96"/>
    <w:multiLevelType w:val="hybridMultilevel"/>
    <w:tmpl w:val="7B98098E"/>
    <w:lvl w:ilvl="0" w:tplc="75CA4924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FD7DE6"/>
    <w:multiLevelType w:val="multilevel"/>
    <w:tmpl w:val="4A1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3DF05C12"/>
    <w:multiLevelType w:val="hybridMultilevel"/>
    <w:tmpl w:val="BADE50A6"/>
    <w:lvl w:ilvl="0" w:tplc="B176A95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B0F37"/>
    <w:multiLevelType w:val="hybridMultilevel"/>
    <w:tmpl w:val="D71E2A76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D702C98"/>
    <w:multiLevelType w:val="hybridMultilevel"/>
    <w:tmpl w:val="F92822E8"/>
    <w:lvl w:ilvl="0" w:tplc="FEEEA0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3"/>
    <w:rsid w:val="000054F0"/>
    <w:rsid w:val="00023571"/>
    <w:rsid w:val="0003320E"/>
    <w:rsid w:val="00044544"/>
    <w:rsid w:val="000445A7"/>
    <w:rsid w:val="0005744C"/>
    <w:rsid w:val="0006610B"/>
    <w:rsid w:val="0007015F"/>
    <w:rsid w:val="0007111F"/>
    <w:rsid w:val="00076DBD"/>
    <w:rsid w:val="000824D6"/>
    <w:rsid w:val="00083848"/>
    <w:rsid w:val="000A3126"/>
    <w:rsid w:val="000A5E6C"/>
    <w:rsid w:val="000B43EE"/>
    <w:rsid w:val="000C0FC8"/>
    <w:rsid w:val="000C7460"/>
    <w:rsid w:val="000D341C"/>
    <w:rsid w:val="000F0915"/>
    <w:rsid w:val="0010058D"/>
    <w:rsid w:val="0010644E"/>
    <w:rsid w:val="00107A55"/>
    <w:rsid w:val="00110E7D"/>
    <w:rsid w:val="001355F5"/>
    <w:rsid w:val="00145F43"/>
    <w:rsid w:val="00153029"/>
    <w:rsid w:val="00154F5D"/>
    <w:rsid w:val="001813A1"/>
    <w:rsid w:val="00194F1E"/>
    <w:rsid w:val="001A0A53"/>
    <w:rsid w:val="001A66E2"/>
    <w:rsid w:val="001D2D88"/>
    <w:rsid w:val="001D5EAB"/>
    <w:rsid w:val="001E0C8A"/>
    <w:rsid w:val="001E11F7"/>
    <w:rsid w:val="00220E29"/>
    <w:rsid w:val="00224105"/>
    <w:rsid w:val="00231936"/>
    <w:rsid w:val="002534A1"/>
    <w:rsid w:val="002559D4"/>
    <w:rsid w:val="00267830"/>
    <w:rsid w:val="00267CFD"/>
    <w:rsid w:val="00292B1C"/>
    <w:rsid w:val="002B2F77"/>
    <w:rsid w:val="002D1BB4"/>
    <w:rsid w:val="002E605B"/>
    <w:rsid w:val="002F0BB8"/>
    <w:rsid w:val="00322376"/>
    <w:rsid w:val="00331FB0"/>
    <w:rsid w:val="00332387"/>
    <w:rsid w:val="00335270"/>
    <w:rsid w:val="00342468"/>
    <w:rsid w:val="00352127"/>
    <w:rsid w:val="003679B5"/>
    <w:rsid w:val="0037190F"/>
    <w:rsid w:val="0038260C"/>
    <w:rsid w:val="00387951"/>
    <w:rsid w:val="003971C1"/>
    <w:rsid w:val="003A16DC"/>
    <w:rsid w:val="003C05CA"/>
    <w:rsid w:val="003C4B33"/>
    <w:rsid w:val="003D678E"/>
    <w:rsid w:val="00404C85"/>
    <w:rsid w:val="004119B2"/>
    <w:rsid w:val="00415AB6"/>
    <w:rsid w:val="00430731"/>
    <w:rsid w:val="004457F9"/>
    <w:rsid w:val="00451161"/>
    <w:rsid w:val="00461EBC"/>
    <w:rsid w:val="00463047"/>
    <w:rsid w:val="004A5028"/>
    <w:rsid w:val="004A65E5"/>
    <w:rsid w:val="004D757F"/>
    <w:rsid w:val="005200D0"/>
    <w:rsid w:val="00526877"/>
    <w:rsid w:val="00527C97"/>
    <w:rsid w:val="005372D6"/>
    <w:rsid w:val="00544738"/>
    <w:rsid w:val="00555CAC"/>
    <w:rsid w:val="00581E06"/>
    <w:rsid w:val="005A13DE"/>
    <w:rsid w:val="005B7400"/>
    <w:rsid w:val="005C1994"/>
    <w:rsid w:val="005D7F75"/>
    <w:rsid w:val="005E1876"/>
    <w:rsid w:val="005E6CBD"/>
    <w:rsid w:val="00604859"/>
    <w:rsid w:val="00611C8F"/>
    <w:rsid w:val="00644826"/>
    <w:rsid w:val="00646293"/>
    <w:rsid w:val="006613EC"/>
    <w:rsid w:val="00663F4D"/>
    <w:rsid w:val="0069290D"/>
    <w:rsid w:val="006A1B2C"/>
    <w:rsid w:val="006A7C7C"/>
    <w:rsid w:val="006B4E8D"/>
    <w:rsid w:val="006C0764"/>
    <w:rsid w:val="006E3510"/>
    <w:rsid w:val="006F66AA"/>
    <w:rsid w:val="00704912"/>
    <w:rsid w:val="00725C9D"/>
    <w:rsid w:val="00740BD4"/>
    <w:rsid w:val="00740FEA"/>
    <w:rsid w:val="007478AA"/>
    <w:rsid w:val="00763600"/>
    <w:rsid w:val="00791F40"/>
    <w:rsid w:val="0079796C"/>
    <w:rsid w:val="007B3F10"/>
    <w:rsid w:val="007C21D8"/>
    <w:rsid w:val="007C4EF9"/>
    <w:rsid w:val="007E59C0"/>
    <w:rsid w:val="007F13A5"/>
    <w:rsid w:val="007F6E04"/>
    <w:rsid w:val="008343DD"/>
    <w:rsid w:val="008467CA"/>
    <w:rsid w:val="00852BA0"/>
    <w:rsid w:val="008572DB"/>
    <w:rsid w:val="008711DC"/>
    <w:rsid w:val="00873645"/>
    <w:rsid w:val="0089358B"/>
    <w:rsid w:val="008A7488"/>
    <w:rsid w:val="008C52D7"/>
    <w:rsid w:val="008D1DBB"/>
    <w:rsid w:val="008D35E3"/>
    <w:rsid w:val="008D3FA3"/>
    <w:rsid w:val="008D402C"/>
    <w:rsid w:val="008D6114"/>
    <w:rsid w:val="0090026B"/>
    <w:rsid w:val="00905071"/>
    <w:rsid w:val="00912C88"/>
    <w:rsid w:val="00914067"/>
    <w:rsid w:val="009211A5"/>
    <w:rsid w:val="00931B03"/>
    <w:rsid w:val="00932E1B"/>
    <w:rsid w:val="00935F50"/>
    <w:rsid w:val="0094235D"/>
    <w:rsid w:val="00944A6F"/>
    <w:rsid w:val="0094501A"/>
    <w:rsid w:val="00951EA9"/>
    <w:rsid w:val="00955381"/>
    <w:rsid w:val="00962DE2"/>
    <w:rsid w:val="009737C5"/>
    <w:rsid w:val="009833D0"/>
    <w:rsid w:val="00983B2D"/>
    <w:rsid w:val="009844CC"/>
    <w:rsid w:val="00994D05"/>
    <w:rsid w:val="009A19F6"/>
    <w:rsid w:val="009C2099"/>
    <w:rsid w:val="009C7905"/>
    <w:rsid w:val="009D65D4"/>
    <w:rsid w:val="009F66D2"/>
    <w:rsid w:val="00A036D9"/>
    <w:rsid w:val="00A05964"/>
    <w:rsid w:val="00A454AF"/>
    <w:rsid w:val="00A469D8"/>
    <w:rsid w:val="00A60F43"/>
    <w:rsid w:val="00A65237"/>
    <w:rsid w:val="00A75D9B"/>
    <w:rsid w:val="00AB7B27"/>
    <w:rsid w:val="00AC0DBB"/>
    <w:rsid w:val="00AC42D6"/>
    <w:rsid w:val="00AD122F"/>
    <w:rsid w:val="00AE1990"/>
    <w:rsid w:val="00AF021D"/>
    <w:rsid w:val="00AF46F3"/>
    <w:rsid w:val="00B4583B"/>
    <w:rsid w:val="00B60847"/>
    <w:rsid w:val="00B639DD"/>
    <w:rsid w:val="00B71E50"/>
    <w:rsid w:val="00B83359"/>
    <w:rsid w:val="00B877F5"/>
    <w:rsid w:val="00B9371F"/>
    <w:rsid w:val="00B97B77"/>
    <w:rsid w:val="00BB0775"/>
    <w:rsid w:val="00BC5347"/>
    <w:rsid w:val="00BD2043"/>
    <w:rsid w:val="00BD2C52"/>
    <w:rsid w:val="00BF3143"/>
    <w:rsid w:val="00BF729D"/>
    <w:rsid w:val="00C028BD"/>
    <w:rsid w:val="00C15B6E"/>
    <w:rsid w:val="00C25CB8"/>
    <w:rsid w:val="00C552FC"/>
    <w:rsid w:val="00C67975"/>
    <w:rsid w:val="00CA22B0"/>
    <w:rsid w:val="00CB4439"/>
    <w:rsid w:val="00CB5434"/>
    <w:rsid w:val="00CC16AA"/>
    <w:rsid w:val="00CC5194"/>
    <w:rsid w:val="00CC5F82"/>
    <w:rsid w:val="00CC6862"/>
    <w:rsid w:val="00CE5238"/>
    <w:rsid w:val="00CF07CA"/>
    <w:rsid w:val="00CF2FB8"/>
    <w:rsid w:val="00D101DC"/>
    <w:rsid w:val="00D11E99"/>
    <w:rsid w:val="00D161D8"/>
    <w:rsid w:val="00D411FD"/>
    <w:rsid w:val="00D53CCD"/>
    <w:rsid w:val="00D56A58"/>
    <w:rsid w:val="00D60F36"/>
    <w:rsid w:val="00D80DD7"/>
    <w:rsid w:val="00D95752"/>
    <w:rsid w:val="00DA6C9E"/>
    <w:rsid w:val="00DC07ED"/>
    <w:rsid w:val="00DF01F2"/>
    <w:rsid w:val="00E13A48"/>
    <w:rsid w:val="00E23972"/>
    <w:rsid w:val="00E548AD"/>
    <w:rsid w:val="00E869E2"/>
    <w:rsid w:val="00EB0248"/>
    <w:rsid w:val="00EC2E00"/>
    <w:rsid w:val="00EC5741"/>
    <w:rsid w:val="00ED695E"/>
    <w:rsid w:val="00EE6521"/>
    <w:rsid w:val="00F323EE"/>
    <w:rsid w:val="00F3386A"/>
    <w:rsid w:val="00F47878"/>
    <w:rsid w:val="00F65D4B"/>
    <w:rsid w:val="00F749B3"/>
    <w:rsid w:val="00F75368"/>
    <w:rsid w:val="00F850AF"/>
    <w:rsid w:val="00F85E95"/>
    <w:rsid w:val="00F97A29"/>
    <w:rsid w:val="00FA6D73"/>
    <w:rsid w:val="00FB014F"/>
    <w:rsid w:val="00FB74C1"/>
    <w:rsid w:val="00FD31BC"/>
    <w:rsid w:val="00FE7785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5507436570428"/>
          <c:y val="5.5584310939743913E-2"/>
          <c:w val="0.60384623797025372"/>
          <c:h val="0.818995609690139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родившихся, человек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1052</c:v>
                </c:pt>
                <c:pt idx="1">
                  <c:v>941</c:v>
                </c:pt>
                <c:pt idx="2">
                  <c:v>901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умерших, человек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1296</c:v>
                </c:pt>
                <c:pt idx="1">
                  <c:v>1359</c:v>
                </c:pt>
                <c:pt idx="2">
                  <c:v>1708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597312"/>
        <c:axId val="139599232"/>
        <c:axId val="0"/>
      </c:bar3DChart>
      <c:catAx>
        <c:axId val="139597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9599232"/>
        <c:crosses val="autoZero"/>
        <c:auto val="1"/>
        <c:lblAlgn val="ctr"/>
        <c:lblOffset val="100"/>
        <c:noMultiLvlLbl val="0"/>
      </c:catAx>
      <c:valAx>
        <c:axId val="13959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9597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89020122484681"/>
          <c:y val="0.34897582432137841"/>
          <c:w val="0.26544313210848641"/>
          <c:h val="0.3020479571478635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Число прибывших,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</c:strCache>
            </c:strRef>
          </c:cat>
          <c:val>
            <c:numRef>
              <c:f>Лист1!$B$17:$B$19</c:f>
              <c:numCache>
                <c:formatCode>General</c:formatCode>
                <c:ptCount val="3"/>
                <c:pt idx="0">
                  <c:v>2336</c:v>
                </c:pt>
                <c:pt idx="1">
                  <c:v>2501</c:v>
                </c:pt>
                <c:pt idx="2">
                  <c:v>2707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Число выбывших,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</c:strCache>
            </c:strRef>
          </c:cat>
          <c:val>
            <c:numRef>
              <c:f>Лист1!$C$17:$C$19</c:f>
              <c:numCache>
                <c:formatCode>General</c:formatCode>
                <c:ptCount val="3"/>
                <c:pt idx="0">
                  <c:v>4638</c:v>
                </c:pt>
                <c:pt idx="1">
                  <c:v>3496</c:v>
                </c:pt>
                <c:pt idx="2">
                  <c:v>3558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602176"/>
        <c:axId val="93603712"/>
        <c:axId val="0"/>
      </c:bar3DChart>
      <c:catAx>
        <c:axId val="9360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603712"/>
        <c:crosses val="autoZero"/>
        <c:auto val="1"/>
        <c:lblAlgn val="ctr"/>
        <c:lblOffset val="100"/>
        <c:noMultiLvlLbl val="0"/>
      </c:catAx>
      <c:valAx>
        <c:axId val="9360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602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533931976620202"/>
          <c:y val="0.3279724760631646"/>
          <c:w val="0.2688888028542698"/>
          <c:h val="0.34405459884050654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8680-950C-4DC3-BA98-B3DCDB71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mah2</cp:lastModifiedBy>
  <cp:revision>7</cp:revision>
  <cp:lastPrinted>2022-10-14T10:49:00Z</cp:lastPrinted>
  <dcterms:created xsi:type="dcterms:W3CDTF">2022-10-14T10:29:00Z</dcterms:created>
  <dcterms:modified xsi:type="dcterms:W3CDTF">2022-10-14T10:50:00Z</dcterms:modified>
</cp:coreProperties>
</file>