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AC" w:rsidRPr="00C235AC" w:rsidRDefault="00C235AC" w:rsidP="00C235AC">
      <w:pPr>
        <w:framePr w:hSpace="141" w:wrap="auto" w:vAnchor="text" w:hAnchor="page" w:x="6147" w:y="12"/>
      </w:pPr>
      <w:r>
        <w:rPr>
          <w:noProof/>
        </w:rPr>
        <w:drawing>
          <wp:inline distT="0" distB="0" distL="0" distR="0">
            <wp:extent cx="581660" cy="655955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235AC" w:rsidRPr="00C235AC" w:rsidTr="002E2CB6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235AC" w:rsidRPr="00C235AC" w:rsidRDefault="00C235AC" w:rsidP="00C235AC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235AC">
              <w:rPr>
                <w:rFonts w:ascii="Times New Roman" w:hAnsi="Times New Roman" w:cs="Times New Roman"/>
                <w:color w:val="auto"/>
              </w:rPr>
              <w:t>АДМИНИСТРАЦИЯ</w:t>
            </w:r>
          </w:p>
          <w:p w:rsidR="00C235AC" w:rsidRPr="00C235AC" w:rsidRDefault="00C235AC" w:rsidP="00C235AC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235AC">
              <w:rPr>
                <w:rFonts w:ascii="Times New Roman" w:hAnsi="Times New Roman" w:cs="Times New Roman"/>
                <w:color w:val="auto"/>
              </w:rPr>
              <w:t>МУНИЦИПАЛЬНОГО ОБРАЗОВАНИЯ</w:t>
            </w:r>
          </w:p>
          <w:p w:rsidR="00C235AC" w:rsidRPr="00C235AC" w:rsidRDefault="00C235AC" w:rsidP="00C235AC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235AC">
              <w:rPr>
                <w:rFonts w:ascii="Times New Roman" w:hAnsi="Times New Roman" w:cs="Times New Roman"/>
                <w:color w:val="auto"/>
              </w:rPr>
              <w:t>ГОРОДСКОГО ОКРУГА</w:t>
            </w:r>
          </w:p>
          <w:p w:rsidR="00C235AC" w:rsidRPr="00C235AC" w:rsidRDefault="00C235AC" w:rsidP="00C235AC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235AC">
              <w:rPr>
                <w:rFonts w:ascii="Times New Roman" w:hAnsi="Times New Roman" w:cs="Times New Roman"/>
                <w:color w:val="auto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235AC" w:rsidRPr="00C235AC" w:rsidRDefault="00C235AC" w:rsidP="00C235AC">
            <w:pPr>
              <w:jc w:val="center"/>
              <w:rPr>
                <w:rFonts w:ascii="Times New Roman" w:hAnsi="Times New Roman" w:cs="Times New Roman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35AC" w:rsidRPr="00C235AC" w:rsidRDefault="00C235AC" w:rsidP="00C235AC">
            <w:pPr>
              <w:jc w:val="center"/>
              <w:rPr>
                <w:rFonts w:ascii="Times New Roman" w:hAnsi="Times New Roman" w:cs="Times New Roman"/>
                <w:lang w:val="ru"/>
              </w:rPr>
            </w:pPr>
            <w:r w:rsidRPr="00C235AC">
              <w:rPr>
                <w:rFonts w:ascii="Times New Roman" w:hAnsi="Times New Roman" w:cs="Times New Roman"/>
                <w:lang w:val="ru"/>
              </w:rPr>
              <w:t>«УХТА»</w:t>
            </w:r>
          </w:p>
          <w:p w:rsidR="00C235AC" w:rsidRPr="00C235AC" w:rsidRDefault="00C235AC" w:rsidP="00C235AC">
            <w:pPr>
              <w:jc w:val="center"/>
              <w:rPr>
                <w:rFonts w:ascii="Times New Roman" w:hAnsi="Times New Roman" w:cs="Times New Roman"/>
                <w:lang w:val="ru"/>
              </w:rPr>
            </w:pPr>
            <w:r w:rsidRPr="00C235AC">
              <w:rPr>
                <w:rFonts w:ascii="Times New Roman" w:hAnsi="Times New Roman" w:cs="Times New Roman"/>
                <w:lang w:val="ru"/>
              </w:rPr>
              <w:t>КАР  КЫТШЛÖН</w:t>
            </w:r>
          </w:p>
          <w:p w:rsidR="00C235AC" w:rsidRPr="00C235AC" w:rsidRDefault="00C235AC" w:rsidP="00C235AC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235AC">
              <w:rPr>
                <w:rFonts w:ascii="Times New Roman" w:hAnsi="Times New Roman" w:cs="Times New Roman"/>
                <w:color w:val="auto"/>
              </w:rPr>
              <w:t>МУНИЦИПАЛЬНÖЙ  ЮКÖНСА</w:t>
            </w:r>
          </w:p>
          <w:p w:rsidR="00C235AC" w:rsidRPr="00C235AC" w:rsidRDefault="00C235AC" w:rsidP="00C235AC">
            <w:pPr>
              <w:jc w:val="center"/>
              <w:rPr>
                <w:rFonts w:ascii="Times New Roman" w:hAnsi="Times New Roman" w:cs="Times New Roman"/>
                <w:lang w:val="ru"/>
              </w:rPr>
            </w:pPr>
            <w:r w:rsidRPr="00C235AC">
              <w:rPr>
                <w:rFonts w:ascii="Times New Roman" w:hAnsi="Times New Roman" w:cs="Times New Roman"/>
                <w:lang w:val="ru"/>
              </w:rPr>
              <w:t>АДМИНИСТРАЦИЯ</w:t>
            </w:r>
          </w:p>
          <w:p w:rsidR="00C235AC" w:rsidRPr="00C235AC" w:rsidRDefault="00C235AC" w:rsidP="00C235AC">
            <w:pPr>
              <w:jc w:val="center"/>
              <w:rPr>
                <w:rFonts w:ascii="Times New Roman" w:hAnsi="Times New Roman" w:cs="Times New Roman"/>
                <w:lang w:val="ru"/>
              </w:rPr>
            </w:pPr>
          </w:p>
        </w:tc>
      </w:tr>
      <w:tr w:rsidR="00C235AC" w:rsidRPr="00C235AC" w:rsidTr="002E2CB6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35AC" w:rsidRPr="00C235AC" w:rsidRDefault="00C235AC" w:rsidP="00C235AC">
            <w:pPr>
              <w:keepNext/>
              <w:spacing w:after="12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auto"/>
                <w:sz w:val="38"/>
              </w:rPr>
            </w:pPr>
            <w:r w:rsidRPr="00C235AC">
              <w:rPr>
                <w:rFonts w:ascii="Times New Roman" w:eastAsia="Times New Roman" w:hAnsi="Times New Roman" w:cs="Times New Roman"/>
                <w:bCs/>
                <w:color w:val="auto"/>
                <w:sz w:val="38"/>
              </w:rPr>
              <w:t>ПОСТАНОВЛЕНИЕ</w:t>
            </w:r>
          </w:p>
          <w:p w:rsidR="00C235AC" w:rsidRPr="00C235AC" w:rsidRDefault="00C235AC" w:rsidP="00C235A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</w:rPr>
            </w:pPr>
            <w:proofErr w:type="gramStart"/>
            <w:r w:rsidRPr="00C235AC"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</w:rPr>
              <w:t>ШУÖМ</w:t>
            </w:r>
            <w:proofErr w:type="gramEnd"/>
          </w:p>
          <w:p w:rsidR="00C235AC" w:rsidRPr="00C235AC" w:rsidRDefault="00C235AC" w:rsidP="00C235AC">
            <w:pPr>
              <w:keepNext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235AC" w:rsidRPr="00C235AC" w:rsidTr="002E2CB6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35AC" w:rsidRPr="00C235AC" w:rsidRDefault="00C235AC" w:rsidP="00C235A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C235AC"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  <w:r w:rsidRPr="00C235AC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35AC" w:rsidRPr="00C235AC" w:rsidRDefault="00C235AC" w:rsidP="00C235A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5AC" w:rsidRPr="00C235AC" w:rsidRDefault="00C235AC" w:rsidP="00C235A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C235AC">
              <w:rPr>
                <w:rFonts w:ascii="Times New Roman" w:hAnsi="Times New Roman" w:cs="Times New Roman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35AC" w:rsidRPr="00C235AC" w:rsidRDefault="00C235AC" w:rsidP="00C235A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235AC" w:rsidRPr="00C235AC" w:rsidRDefault="00C235AC" w:rsidP="00C235A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5AC" w:rsidRPr="00C235AC" w:rsidTr="002E2CB6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5AC" w:rsidRPr="00C235AC" w:rsidRDefault="00C235AC" w:rsidP="00C235A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C235AC">
              <w:rPr>
                <w:rFonts w:ascii="Times New Roman" w:hAnsi="Times New Roman" w:cs="Times New Roman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35AC" w:rsidRPr="00C235AC" w:rsidRDefault="00C235AC" w:rsidP="00C235A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35AC" w:rsidRPr="00C235AC" w:rsidRDefault="00C235AC" w:rsidP="00C235A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</w:tr>
    </w:tbl>
    <w:p w:rsidR="00AB7B27" w:rsidRPr="008B76CD" w:rsidRDefault="00AB7B27" w:rsidP="00AB7B27">
      <w:pPr>
        <w:pStyle w:val="1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6613EC" w:rsidRDefault="006613EC" w:rsidP="00C235AC">
      <w:pPr>
        <w:shd w:val="clear" w:color="auto" w:fill="FFFFFF"/>
        <w:ind w:right="467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613EC">
        <w:rPr>
          <w:rFonts w:ascii="Times New Roman" w:hAnsi="Times New Roman" w:cs="Times New Roman"/>
          <w:sz w:val="28"/>
          <w:szCs w:val="28"/>
        </w:rPr>
        <w:t>Об одобрении прогноза социально-экономического</w:t>
      </w:r>
      <w:r w:rsidR="008D1DBB">
        <w:rPr>
          <w:rFonts w:ascii="Times New Roman" w:hAnsi="Times New Roman" w:cs="Times New Roman"/>
          <w:sz w:val="28"/>
          <w:szCs w:val="28"/>
        </w:rPr>
        <w:t xml:space="preserve"> </w:t>
      </w:r>
      <w:r w:rsidRPr="006613EC">
        <w:rPr>
          <w:rFonts w:ascii="Times New Roman" w:hAnsi="Times New Roman" w:cs="Times New Roman"/>
          <w:sz w:val="28"/>
          <w:szCs w:val="28"/>
        </w:rPr>
        <w:t>развития муниципального образования городского округа «Ухта» на</w:t>
      </w:r>
      <w:r w:rsidR="00322376">
        <w:rPr>
          <w:rFonts w:ascii="Times New Roman" w:hAnsi="Times New Roman" w:cs="Times New Roman"/>
          <w:sz w:val="28"/>
          <w:szCs w:val="28"/>
        </w:rPr>
        <w:t xml:space="preserve"> 202</w:t>
      </w:r>
      <w:r w:rsidR="00D25324">
        <w:rPr>
          <w:rFonts w:ascii="Times New Roman" w:hAnsi="Times New Roman" w:cs="Times New Roman"/>
          <w:sz w:val="28"/>
          <w:szCs w:val="28"/>
        </w:rPr>
        <w:t>4</w:t>
      </w:r>
      <w:r w:rsidR="00322376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6613EC">
        <w:rPr>
          <w:rFonts w:ascii="Times New Roman" w:hAnsi="Times New Roman" w:cs="Times New Roman"/>
          <w:sz w:val="28"/>
          <w:szCs w:val="28"/>
        </w:rPr>
        <w:t>период до 20</w:t>
      </w:r>
      <w:r w:rsidR="00322376">
        <w:rPr>
          <w:rFonts w:ascii="Times New Roman" w:hAnsi="Times New Roman" w:cs="Times New Roman"/>
          <w:sz w:val="28"/>
          <w:szCs w:val="28"/>
        </w:rPr>
        <w:t>2</w:t>
      </w:r>
      <w:r w:rsidR="00D25324">
        <w:rPr>
          <w:rFonts w:ascii="Times New Roman" w:hAnsi="Times New Roman" w:cs="Times New Roman"/>
          <w:sz w:val="28"/>
          <w:szCs w:val="28"/>
        </w:rPr>
        <w:t>6</w:t>
      </w:r>
      <w:r w:rsidRPr="006613EC">
        <w:rPr>
          <w:rFonts w:ascii="Times New Roman" w:hAnsi="Times New Roman" w:cs="Times New Roman"/>
          <w:sz w:val="28"/>
          <w:szCs w:val="28"/>
        </w:rPr>
        <w:t xml:space="preserve"> года</w:t>
      </w:r>
    </w:p>
    <w:bookmarkEnd w:id="0"/>
    <w:p w:rsidR="00322376" w:rsidRDefault="00322376" w:rsidP="00322376">
      <w:pPr>
        <w:shd w:val="clear" w:color="auto" w:fill="FFFFFF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322376" w:rsidRPr="00322376" w:rsidRDefault="00322376" w:rsidP="00C235AC">
      <w:pPr>
        <w:pStyle w:val="a9"/>
        <w:shd w:val="clear" w:color="auto" w:fill="FFFFFF"/>
        <w:tabs>
          <w:tab w:val="left" w:pos="398"/>
        </w:tabs>
        <w:spacing w:after="120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376">
        <w:rPr>
          <w:rFonts w:ascii="Times New Roman" w:hAnsi="Times New Roman" w:cs="Times New Roman"/>
          <w:sz w:val="28"/>
          <w:szCs w:val="28"/>
        </w:rPr>
        <w:t>В соответствии с</w:t>
      </w:r>
      <w:r w:rsidR="00912C88">
        <w:rPr>
          <w:rFonts w:ascii="Times New Roman" w:hAnsi="Times New Roman" w:cs="Times New Roman"/>
          <w:sz w:val="28"/>
          <w:szCs w:val="28"/>
        </w:rPr>
        <w:t xml:space="preserve"> </w:t>
      </w:r>
      <w:r w:rsidR="00912C88" w:rsidRPr="00912C88">
        <w:rPr>
          <w:rFonts w:ascii="Times New Roman" w:hAnsi="Times New Roman" w:cs="Times New Roman"/>
          <w:sz w:val="28"/>
          <w:szCs w:val="28"/>
        </w:rPr>
        <w:t>Федеральным законом от 28</w:t>
      </w:r>
      <w:r w:rsidR="00912C88">
        <w:rPr>
          <w:rFonts w:ascii="Times New Roman" w:hAnsi="Times New Roman" w:cs="Times New Roman"/>
          <w:sz w:val="28"/>
          <w:szCs w:val="28"/>
        </w:rPr>
        <w:t>.06.</w:t>
      </w:r>
      <w:r w:rsidR="00912C88" w:rsidRPr="00912C88">
        <w:rPr>
          <w:rFonts w:ascii="Times New Roman" w:hAnsi="Times New Roman" w:cs="Times New Roman"/>
          <w:sz w:val="28"/>
          <w:szCs w:val="28"/>
        </w:rPr>
        <w:t xml:space="preserve">2014  </w:t>
      </w:r>
      <w:r w:rsidR="00912C88">
        <w:rPr>
          <w:rFonts w:ascii="Times New Roman" w:hAnsi="Times New Roman" w:cs="Times New Roman"/>
          <w:sz w:val="28"/>
          <w:szCs w:val="28"/>
        </w:rPr>
        <w:t>№</w:t>
      </w:r>
      <w:r w:rsidR="00912C88" w:rsidRPr="00912C88">
        <w:rPr>
          <w:rFonts w:ascii="Times New Roman" w:hAnsi="Times New Roman" w:cs="Times New Roman"/>
          <w:sz w:val="28"/>
          <w:szCs w:val="28"/>
        </w:rPr>
        <w:t xml:space="preserve"> 172-ФЗ </w:t>
      </w:r>
      <w:r w:rsidR="00912C88">
        <w:rPr>
          <w:rFonts w:ascii="Times New Roman" w:hAnsi="Times New Roman" w:cs="Times New Roman"/>
          <w:sz w:val="28"/>
          <w:szCs w:val="28"/>
        </w:rPr>
        <w:t>«</w:t>
      </w:r>
      <w:r w:rsidR="00912C88" w:rsidRPr="00912C88">
        <w:rPr>
          <w:rFonts w:ascii="Times New Roman" w:hAnsi="Times New Roman" w:cs="Times New Roman"/>
          <w:sz w:val="28"/>
          <w:szCs w:val="28"/>
        </w:rPr>
        <w:t>О стратегическом планировании в Российской Федерации</w:t>
      </w:r>
      <w:r w:rsidR="00912C88">
        <w:rPr>
          <w:rFonts w:ascii="Times New Roman" w:hAnsi="Times New Roman" w:cs="Times New Roman"/>
          <w:sz w:val="28"/>
          <w:szCs w:val="28"/>
        </w:rPr>
        <w:t>»,</w:t>
      </w:r>
      <w:r w:rsidRPr="0032237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городского округа «Ухта» </w:t>
      </w:r>
      <w:r w:rsidR="00C235A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22376">
        <w:rPr>
          <w:rFonts w:ascii="Times New Roman" w:hAnsi="Times New Roman" w:cs="Times New Roman"/>
          <w:sz w:val="28"/>
          <w:szCs w:val="28"/>
        </w:rPr>
        <w:t>от 23</w:t>
      </w:r>
      <w:r w:rsidR="00912C88">
        <w:rPr>
          <w:rFonts w:ascii="Times New Roman" w:hAnsi="Times New Roman" w:cs="Times New Roman"/>
          <w:sz w:val="28"/>
          <w:szCs w:val="28"/>
        </w:rPr>
        <w:t>.08.2</w:t>
      </w:r>
      <w:r w:rsidRPr="00322376">
        <w:rPr>
          <w:rFonts w:ascii="Times New Roman" w:hAnsi="Times New Roman" w:cs="Times New Roman"/>
          <w:sz w:val="28"/>
          <w:szCs w:val="28"/>
        </w:rPr>
        <w:t>017</w:t>
      </w:r>
      <w:r w:rsidR="00912C88">
        <w:rPr>
          <w:rFonts w:ascii="Times New Roman" w:hAnsi="Times New Roman" w:cs="Times New Roman"/>
          <w:sz w:val="28"/>
          <w:szCs w:val="28"/>
        </w:rPr>
        <w:t xml:space="preserve"> </w:t>
      </w:r>
      <w:r w:rsidRPr="00322376">
        <w:rPr>
          <w:rFonts w:ascii="Times New Roman" w:hAnsi="Times New Roman" w:cs="Times New Roman"/>
          <w:sz w:val="28"/>
          <w:szCs w:val="28"/>
        </w:rPr>
        <w:t>№ 2943 «Об утверждении Порядка разработки прогноза социально-экономического развития муниципального образования городского округа «Ухта» на средне</w:t>
      </w:r>
      <w:r w:rsidR="0005744C">
        <w:rPr>
          <w:rFonts w:ascii="Times New Roman" w:hAnsi="Times New Roman" w:cs="Times New Roman"/>
          <w:sz w:val="28"/>
          <w:szCs w:val="28"/>
        </w:rPr>
        <w:t>срочный и долгосрочный периоды»</w:t>
      </w:r>
      <w:r w:rsidRPr="00322376">
        <w:rPr>
          <w:rFonts w:ascii="Times New Roman" w:hAnsi="Times New Roman" w:cs="Times New Roman"/>
          <w:sz w:val="28"/>
          <w:szCs w:val="28"/>
        </w:rPr>
        <w:t xml:space="preserve"> администрация постановляет:</w:t>
      </w:r>
    </w:p>
    <w:p w:rsidR="00322376" w:rsidRPr="00322376" w:rsidRDefault="00322376" w:rsidP="00BF3143">
      <w:pPr>
        <w:pStyle w:val="a9"/>
        <w:shd w:val="clear" w:color="auto" w:fill="FFFFFF"/>
        <w:tabs>
          <w:tab w:val="left" w:pos="398"/>
        </w:tabs>
        <w:spacing w:after="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2376">
        <w:rPr>
          <w:rFonts w:ascii="Times New Roman" w:hAnsi="Times New Roman" w:cs="Times New Roman"/>
          <w:sz w:val="28"/>
          <w:szCs w:val="28"/>
        </w:rPr>
        <w:t>1.</w:t>
      </w:r>
      <w:r w:rsidR="00BF3143" w:rsidRPr="00BF3143">
        <w:rPr>
          <w:rFonts w:ascii="Times New Roman" w:hAnsi="Times New Roman" w:cs="Times New Roman"/>
          <w:color w:val="FFFFFF" w:themeColor="background1"/>
          <w:sz w:val="28"/>
          <w:szCs w:val="28"/>
        </w:rPr>
        <w:t>_</w:t>
      </w:r>
      <w:r w:rsidRPr="00322376">
        <w:rPr>
          <w:rFonts w:ascii="Times New Roman" w:hAnsi="Times New Roman" w:cs="Times New Roman"/>
          <w:sz w:val="28"/>
          <w:szCs w:val="28"/>
        </w:rPr>
        <w:t>Одобрить прогноз социально-экономического развития муниципального образования городского округа «Ухта» на 202</w:t>
      </w:r>
      <w:r w:rsidR="00D25324">
        <w:rPr>
          <w:rFonts w:ascii="Times New Roman" w:hAnsi="Times New Roman" w:cs="Times New Roman"/>
          <w:sz w:val="28"/>
          <w:szCs w:val="28"/>
        </w:rPr>
        <w:t>4</w:t>
      </w:r>
      <w:r w:rsidRPr="00322376">
        <w:rPr>
          <w:rFonts w:ascii="Times New Roman" w:hAnsi="Times New Roman" w:cs="Times New Roman"/>
          <w:sz w:val="28"/>
          <w:szCs w:val="28"/>
        </w:rPr>
        <w:t xml:space="preserve"> год и на период до 202</w:t>
      </w:r>
      <w:r w:rsidR="00D25324">
        <w:rPr>
          <w:rFonts w:ascii="Times New Roman" w:hAnsi="Times New Roman" w:cs="Times New Roman"/>
          <w:sz w:val="28"/>
          <w:szCs w:val="28"/>
        </w:rPr>
        <w:t>6</w:t>
      </w:r>
      <w:r w:rsidRPr="00322376">
        <w:rPr>
          <w:rFonts w:ascii="Times New Roman" w:hAnsi="Times New Roman" w:cs="Times New Roman"/>
          <w:sz w:val="28"/>
          <w:szCs w:val="28"/>
        </w:rPr>
        <w:t xml:space="preserve"> года согласно приложению к настоящему постановлению.</w:t>
      </w:r>
    </w:p>
    <w:p w:rsidR="00322376" w:rsidRPr="00322376" w:rsidRDefault="00322376" w:rsidP="00BF3143">
      <w:pPr>
        <w:pStyle w:val="a9"/>
        <w:shd w:val="clear" w:color="auto" w:fill="FFFFFF"/>
        <w:tabs>
          <w:tab w:val="left" w:pos="398"/>
        </w:tabs>
        <w:spacing w:after="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2376">
        <w:rPr>
          <w:rFonts w:ascii="Times New Roman" w:hAnsi="Times New Roman" w:cs="Times New Roman"/>
          <w:sz w:val="28"/>
          <w:szCs w:val="28"/>
        </w:rPr>
        <w:t>2.</w:t>
      </w:r>
      <w:r w:rsidR="00BF3143" w:rsidRPr="00BF3143">
        <w:rPr>
          <w:rFonts w:ascii="Times New Roman" w:hAnsi="Times New Roman" w:cs="Times New Roman"/>
          <w:color w:val="FFFFFF" w:themeColor="background1"/>
          <w:sz w:val="28"/>
          <w:szCs w:val="28"/>
        </w:rPr>
        <w:t>_</w:t>
      </w:r>
      <w:r w:rsidR="00912C88">
        <w:rPr>
          <w:rFonts w:ascii="Times New Roman" w:hAnsi="Times New Roman" w:cs="Times New Roman"/>
          <w:sz w:val="28"/>
          <w:szCs w:val="28"/>
        </w:rPr>
        <w:t>Отменить</w:t>
      </w:r>
      <w:r w:rsidRPr="00322376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МОГО «Ухта» </w:t>
      </w:r>
      <w:r w:rsidR="00C235A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22376">
        <w:rPr>
          <w:rFonts w:ascii="Times New Roman" w:hAnsi="Times New Roman" w:cs="Times New Roman"/>
          <w:sz w:val="28"/>
          <w:szCs w:val="28"/>
        </w:rPr>
        <w:t xml:space="preserve">от </w:t>
      </w:r>
      <w:r w:rsidR="00D25324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5324">
        <w:rPr>
          <w:rFonts w:ascii="Times New Roman" w:hAnsi="Times New Roman" w:cs="Times New Roman"/>
          <w:sz w:val="28"/>
          <w:szCs w:val="28"/>
        </w:rPr>
        <w:t>10</w:t>
      </w:r>
      <w:r w:rsidRPr="00322376">
        <w:rPr>
          <w:rFonts w:ascii="Times New Roman" w:hAnsi="Times New Roman" w:cs="Times New Roman"/>
          <w:sz w:val="28"/>
          <w:szCs w:val="28"/>
        </w:rPr>
        <w:t>.20</w:t>
      </w:r>
      <w:r w:rsidR="008D3FA3">
        <w:rPr>
          <w:rFonts w:ascii="Times New Roman" w:hAnsi="Times New Roman" w:cs="Times New Roman"/>
          <w:sz w:val="28"/>
          <w:szCs w:val="28"/>
        </w:rPr>
        <w:t>2</w:t>
      </w:r>
      <w:r w:rsidR="00D25324">
        <w:rPr>
          <w:rFonts w:ascii="Times New Roman" w:hAnsi="Times New Roman" w:cs="Times New Roman"/>
          <w:sz w:val="28"/>
          <w:szCs w:val="28"/>
        </w:rPr>
        <w:t>2</w:t>
      </w:r>
      <w:r w:rsidRPr="00322376">
        <w:rPr>
          <w:rFonts w:ascii="Times New Roman" w:hAnsi="Times New Roman" w:cs="Times New Roman"/>
          <w:sz w:val="28"/>
          <w:szCs w:val="28"/>
        </w:rPr>
        <w:t xml:space="preserve"> № 2</w:t>
      </w:r>
      <w:r w:rsidR="00D25324">
        <w:rPr>
          <w:rFonts w:ascii="Times New Roman" w:hAnsi="Times New Roman" w:cs="Times New Roman"/>
          <w:sz w:val="28"/>
          <w:szCs w:val="28"/>
        </w:rPr>
        <w:t>2</w:t>
      </w:r>
      <w:r w:rsidR="008D3FA3">
        <w:rPr>
          <w:rFonts w:ascii="Times New Roman" w:hAnsi="Times New Roman" w:cs="Times New Roman"/>
          <w:sz w:val="28"/>
          <w:szCs w:val="28"/>
        </w:rPr>
        <w:t>57</w:t>
      </w:r>
      <w:r w:rsidRPr="00322376">
        <w:rPr>
          <w:rFonts w:ascii="Times New Roman" w:hAnsi="Times New Roman" w:cs="Times New Roman"/>
          <w:sz w:val="28"/>
          <w:szCs w:val="28"/>
        </w:rPr>
        <w:t xml:space="preserve"> «Об одобрении прогноза социально</w:t>
      </w:r>
      <w:r w:rsidR="00740BD4">
        <w:rPr>
          <w:rFonts w:ascii="Times New Roman" w:hAnsi="Times New Roman" w:cs="Times New Roman"/>
          <w:sz w:val="28"/>
          <w:szCs w:val="28"/>
        </w:rPr>
        <w:t xml:space="preserve"> </w:t>
      </w:r>
      <w:r w:rsidRPr="00322376">
        <w:rPr>
          <w:rFonts w:ascii="Times New Roman" w:hAnsi="Times New Roman" w:cs="Times New Roman"/>
          <w:sz w:val="28"/>
          <w:szCs w:val="28"/>
        </w:rPr>
        <w:t>- экономического развития муниципального образования городского округа «Ухта»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25324">
        <w:rPr>
          <w:rFonts w:ascii="Times New Roman" w:hAnsi="Times New Roman" w:cs="Times New Roman"/>
          <w:sz w:val="28"/>
          <w:szCs w:val="28"/>
        </w:rPr>
        <w:t>3</w:t>
      </w:r>
      <w:r w:rsidRPr="00322376">
        <w:rPr>
          <w:rFonts w:ascii="Times New Roman" w:hAnsi="Times New Roman" w:cs="Times New Roman"/>
          <w:sz w:val="28"/>
          <w:szCs w:val="28"/>
        </w:rPr>
        <w:t xml:space="preserve"> год и на период до 202</w:t>
      </w:r>
      <w:r w:rsidR="00D25324">
        <w:rPr>
          <w:rFonts w:ascii="Times New Roman" w:hAnsi="Times New Roman" w:cs="Times New Roman"/>
          <w:sz w:val="28"/>
          <w:szCs w:val="28"/>
        </w:rPr>
        <w:t>5</w:t>
      </w:r>
      <w:r w:rsidRPr="00322376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AB7B27" w:rsidRPr="006613EC" w:rsidRDefault="00322376" w:rsidP="00BF3143">
      <w:pPr>
        <w:pStyle w:val="a9"/>
        <w:shd w:val="clear" w:color="auto" w:fill="FFFFFF"/>
        <w:tabs>
          <w:tab w:val="left" w:pos="398"/>
        </w:tabs>
        <w:spacing w:after="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2376">
        <w:rPr>
          <w:rFonts w:ascii="Times New Roman" w:hAnsi="Times New Roman" w:cs="Times New Roman"/>
          <w:sz w:val="28"/>
          <w:szCs w:val="28"/>
        </w:rPr>
        <w:t>3.</w:t>
      </w:r>
      <w:r w:rsidR="00BF3143" w:rsidRPr="00BF3143">
        <w:rPr>
          <w:rFonts w:ascii="Times New Roman" w:hAnsi="Times New Roman" w:cs="Times New Roman"/>
          <w:color w:val="FFFFFF" w:themeColor="background1"/>
          <w:sz w:val="28"/>
          <w:szCs w:val="28"/>
        </w:rPr>
        <w:t>_</w:t>
      </w:r>
      <w:r w:rsidRPr="00322376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на Официальном портале администрации МОГО «Ухта».</w:t>
      </w:r>
    </w:p>
    <w:p w:rsidR="00AB7B27" w:rsidRDefault="00AB7B27" w:rsidP="00AB7B27">
      <w:pPr>
        <w:shd w:val="clear" w:color="auto" w:fill="FFFFFF"/>
        <w:tabs>
          <w:tab w:val="left" w:pos="1123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25324" w:rsidRPr="006613EC" w:rsidRDefault="00D25324" w:rsidP="00AB7B27">
      <w:pPr>
        <w:shd w:val="clear" w:color="auto" w:fill="FFFFFF"/>
        <w:tabs>
          <w:tab w:val="left" w:pos="1123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B4E8D" w:rsidRDefault="007F13A5" w:rsidP="00AB7B2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613EC">
        <w:rPr>
          <w:rFonts w:ascii="Times New Roman" w:hAnsi="Times New Roman" w:cs="Times New Roman"/>
          <w:sz w:val="28"/>
          <w:szCs w:val="28"/>
        </w:rPr>
        <w:t>Глава МОГО «Ухта</w:t>
      </w:r>
      <w:r w:rsidRPr="00F65D4B">
        <w:rPr>
          <w:rFonts w:ascii="Times New Roman" w:hAnsi="Times New Roman" w:cs="Times New Roman"/>
          <w:sz w:val="28"/>
          <w:szCs w:val="28"/>
        </w:rPr>
        <w:t>» -</w:t>
      </w:r>
      <w:r w:rsidR="006B4E8D">
        <w:rPr>
          <w:rFonts w:ascii="Times New Roman" w:hAnsi="Times New Roman" w:cs="Times New Roman"/>
          <w:sz w:val="28"/>
          <w:szCs w:val="28"/>
        </w:rPr>
        <w:t xml:space="preserve"> </w:t>
      </w:r>
      <w:r w:rsidRPr="00F65D4B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AB7B27" w:rsidRDefault="007F13A5" w:rsidP="00AB7B2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F65D4B">
        <w:rPr>
          <w:rFonts w:ascii="Times New Roman" w:hAnsi="Times New Roman" w:cs="Times New Roman"/>
          <w:sz w:val="28"/>
          <w:szCs w:val="28"/>
        </w:rPr>
        <w:t xml:space="preserve">администрации МОГО «Ухта»      </w:t>
      </w:r>
      <w:r w:rsidR="00AB7B27" w:rsidRPr="00F65D4B">
        <w:rPr>
          <w:rFonts w:ascii="Times New Roman" w:hAnsi="Times New Roman" w:cs="Times New Roman"/>
          <w:sz w:val="28"/>
          <w:szCs w:val="28"/>
        </w:rPr>
        <w:t xml:space="preserve">   </w:t>
      </w:r>
      <w:r w:rsidR="00D80DD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B4E8D">
        <w:rPr>
          <w:rFonts w:ascii="Times New Roman" w:hAnsi="Times New Roman" w:cs="Times New Roman"/>
          <w:sz w:val="28"/>
          <w:szCs w:val="28"/>
        </w:rPr>
        <w:t xml:space="preserve">    </w:t>
      </w:r>
      <w:r w:rsidR="00C235AC">
        <w:rPr>
          <w:rFonts w:ascii="Times New Roman" w:hAnsi="Times New Roman" w:cs="Times New Roman"/>
          <w:sz w:val="28"/>
          <w:szCs w:val="28"/>
        </w:rPr>
        <w:t xml:space="preserve"> </w:t>
      </w:r>
      <w:r w:rsidR="006B4E8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80DD7">
        <w:rPr>
          <w:rFonts w:ascii="Times New Roman" w:hAnsi="Times New Roman" w:cs="Times New Roman"/>
          <w:sz w:val="28"/>
          <w:szCs w:val="28"/>
        </w:rPr>
        <w:t xml:space="preserve">   </w:t>
      </w:r>
      <w:r w:rsidR="00AB7B27" w:rsidRPr="00F65D4B">
        <w:rPr>
          <w:rFonts w:ascii="Times New Roman" w:hAnsi="Times New Roman" w:cs="Times New Roman"/>
          <w:sz w:val="28"/>
          <w:szCs w:val="28"/>
        </w:rPr>
        <w:t xml:space="preserve">  М.Н.</w:t>
      </w:r>
      <w:r w:rsidR="006B4E8D">
        <w:rPr>
          <w:rFonts w:ascii="Times New Roman" w:hAnsi="Times New Roman" w:cs="Times New Roman"/>
          <w:sz w:val="28"/>
          <w:szCs w:val="28"/>
        </w:rPr>
        <w:t xml:space="preserve"> </w:t>
      </w:r>
      <w:r w:rsidR="00AB7B27" w:rsidRPr="00F65D4B">
        <w:rPr>
          <w:rFonts w:ascii="Times New Roman" w:hAnsi="Times New Roman" w:cs="Times New Roman"/>
          <w:sz w:val="28"/>
          <w:szCs w:val="28"/>
        </w:rPr>
        <w:t>Османов</w:t>
      </w:r>
    </w:p>
    <w:p w:rsidR="0089358B" w:rsidRDefault="0089358B" w:rsidP="00AB7B2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9358B" w:rsidRDefault="0089358B" w:rsidP="00AB7B2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9358B" w:rsidRDefault="0089358B" w:rsidP="00AB7B2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9358B" w:rsidRDefault="0089358B" w:rsidP="00AB7B2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25324" w:rsidRDefault="00D25324" w:rsidP="00AB7B27">
      <w:pPr>
        <w:widowControl w:val="0"/>
        <w:jc w:val="both"/>
        <w:rPr>
          <w:rFonts w:ascii="Times New Roman" w:hAnsi="Times New Roman" w:cs="Times New Roman"/>
          <w:sz w:val="28"/>
          <w:szCs w:val="28"/>
        </w:rPr>
        <w:sectPr w:rsidR="00D25324" w:rsidSect="00C235AC">
          <w:pgSz w:w="11905" w:h="16837"/>
          <w:pgMar w:top="851" w:right="706" w:bottom="1134" w:left="1701" w:header="0" w:footer="6" w:gutter="0"/>
          <w:cols w:space="720"/>
          <w:noEndnote/>
          <w:docGrid w:linePitch="360"/>
        </w:sectPr>
      </w:pPr>
    </w:p>
    <w:p w:rsidR="00ED695E" w:rsidRPr="00C235AC" w:rsidRDefault="00ED695E" w:rsidP="00C235AC">
      <w:pPr>
        <w:ind w:firstLine="11766"/>
        <w:jc w:val="center"/>
        <w:rPr>
          <w:rFonts w:ascii="Times New Roman" w:hAnsi="Times New Roman" w:cs="Times New Roman"/>
          <w:sz w:val="20"/>
          <w:szCs w:val="20"/>
        </w:rPr>
      </w:pPr>
      <w:r w:rsidRPr="00C235AC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ED695E" w:rsidRPr="00C235AC" w:rsidRDefault="00ED695E" w:rsidP="00C235AC">
      <w:pPr>
        <w:ind w:firstLine="11766"/>
        <w:jc w:val="center"/>
        <w:rPr>
          <w:rFonts w:ascii="Times New Roman" w:hAnsi="Times New Roman" w:cs="Times New Roman"/>
          <w:sz w:val="20"/>
          <w:szCs w:val="20"/>
        </w:rPr>
      </w:pPr>
      <w:r w:rsidRPr="00C235AC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ED695E" w:rsidRPr="00C235AC" w:rsidRDefault="00ED695E" w:rsidP="00C235AC">
      <w:pPr>
        <w:ind w:firstLine="11766"/>
        <w:jc w:val="center"/>
        <w:rPr>
          <w:rFonts w:ascii="Times New Roman" w:hAnsi="Times New Roman" w:cs="Times New Roman"/>
          <w:sz w:val="20"/>
          <w:szCs w:val="20"/>
        </w:rPr>
      </w:pPr>
      <w:r w:rsidRPr="00C235AC">
        <w:rPr>
          <w:rFonts w:ascii="Times New Roman" w:hAnsi="Times New Roman" w:cs="Times New Roman"/>
          <w:sz w:val="20"/>
          <w:szCs w:val="20"/>
        </w:rPr>
        <w:t>администрации МОГО «Ухта»</w:t>
      </w:r>
    </w:p>
    <w:p w:rsidR="00ED695E" w:rsidRPr="00C235AC" w:rsidRDefault="00CC2056" w:rsidP="00C235AC">
      <w:pPr>
        <w:ind w:firstLine="11766"/>
        <w:jc w:val="center"/>
        <w:rPr>
          <w:rFonts w:ascii="Times New Roman" w:hAnsi="Times New Roman" w:cs="Times New Roman"/>
          <w:sz w:val="20"/>
          <w:szCs w:val="20"/>
        </w:rPr>
      </w:pPr>
      <w:r w:rsidRPr="00C235AC">
        <w:rPr>
          <w:rFonts w:ascii="Times New Roman" w:hAnsi="Times New Roman" w:cs="Times New Roman"/>
          <w:sz w:val="20"/>
          <w:szCs w:val="20"/>
        </w:rPr>
        <w:t xml:space="preserve">от </w:t>
      </w:r>
      <w:r w:rsidR="00C235AC">
        <w:rPr>
          <w:rFonts w:ascii="Times New Roman" w:hAnsi="Times New Roman" w:cs="Times New Roman"/>
          <w:sz w:val="20"/>
          <w:szCs w:val="20"/>
        </w:rPr>
        <w:t>30 октября 2023</w:t>
      </w:r>
      <w:r w:rsidR="00ED695E" w:rsidRPr="00C235AC">
        <w:rPr>
          <w:rFonts w:ascii="Times New Roman" w:hAnsi="Times New Roman" w:cs="Times New Roman"/>
          <w:sz w:val="20"/>
          <w:szCs w:val="20"/>
        </w:rPr>
        <w:t xml:space="preserve"> г. № </w:t>
      </w:r>
      <w:r w:rsidR="00C235AC">
        <w:rPr>
          <w:rFonts w:ascii="Times New Roman" w:hAnsi="Times New Roman" w:cs="Times New Roman"/>
          <w:sz w:val="20"/>
          <w:szCs w:val="20"/>
        </w:rPr>
        <w:t>2895</w:t>
      </w:r>
    </w:p>
    <w:p w:rsidR="00ED695E" w:rsidRPr="00C235AC" w:rsidRDefault="00ED695E" w:rsidP="00C235AC">
      <w:pPr>
        <w:pStyle w:val="a4"/>
        <w:rPr>
          <w:b w:val="0"/>
          <w:sz w:val="20"/>
          <w:szCs w:val="20"/>
          <w:highlight w:val="yellow"/>
        </w:rPr>
      </w:pPr>
    </w:p>
    <w:p w:rsidR="00ED695E" w:rsidRPr="00CC2056" w:rsidRDefault="00ED695E" w:rsidP="00ED69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2056">
        <w:rPr>
          <w:rFonts w:ascii="Times New Roman" w:hAnsi="Times New Roman" w:cs="Times New Roman"/>
          <w:b/>
          <w:sz w:val="26"/>
          <w:szCs w:val="26"/>
        </w:rPr>
        <w:t>Прогноз социально-экономического развития муниципального образования городского округа «Ухта»</w:t>
      </w:r>
    </w:p>
    <w:p w:rsidR="00CC2056" w:rsidRDefault="00ED695E" w:rsidP="00CC2056">
      <w:pPr>
        <w:pStyle w:val="a4"/>
        <w:ind w:left="-142"/>
        <w:rPr>
          <w:sz w:val="26"/>
          <w:szCs w:val="26"/>
        </w:rPr>
      </w:pPr>
      <w:r w:rsidRPr="00CC2056">
        <w:rPr>
          <w:sz w:val="26"/>
          <w:szCs w:val="26"/>
        </w:rPr>
        <w:t xml:space="preserve">на </w:t>
      </w:r>
      <w:r w:rsidR="00322376" w:rsidRPr="00CC2056">
        <w:rPr>
          <w:sz w:val="26"/>
          <w:szCs w:val="26"/>
        </w:rPr>
        <w:t>202</w:t>
      </w:r>
      <w:r w:rsidR="00D25324" w:rsidRPr="00CC2056">
        <w:rPr>
          <w:sz w:val="26"/>
          <w:szCs w:val="26"/>
        </w:rPr>
        <w:t>4</w:t>
      </w:r>
      <w:r w:rsidR="00322376" w:rsidRPr="00CC2056">
        <w:rPr>
          <w:sz w:val="26"/>
          <w:szCs w:val="26"/>
        </w:rPr>
        <w:t xml:space="preserve"> год и на </w:t>
      </w:r>
      <w:r w:rsidRPr="00CC2056">
        <w:rPr>
          <w:sz w:val="26"/>
          <w:szCs w:val="26"/>
        </w:rPr>
        <w:t>период до 20</w:t>
      </w:r>
      <w:r w:rsidR="00322376" w:rsidRPr="00CC2056">
        <w:rPr>
          <w:sz w:val="26"/>
          <w:szCs w:val="26"/>
        </w:rPr>
        <w:t>2</w:t>
      </w:r>
      <w:r w:rsidR="00D25324" w:rsidRPr="00CC2056">
        <w:rPr>
          <w:sz w:val="26"/>
          <w:szCs w:val="26"/>
        </w:rPr>
        <w:t>6</w:t>
      </w:r>
      <w:r w:rsidRPr="00CC2056">
        <w:rPr>
          <w:sz w:val="26"/>
          <w:szCs w:val="26"/>
        </w:rPr>
        <w:t xml:space="preserve"> года</w:t>
      </w:r>
    </w:p>
    <w:p w:rsidR="00D42B42" w:rsidRPr="00D42B42" w:rsidRDefault="00D42B42" w:rsidP="00CC2056">
      <w:pPr>
        <w:pStyle w:val="a4"/>
        <w:ind w:left="-142"/>
        <w:rPr>
          <w:sz w:val="14"/>
          <w:szCs w:val="14"/>
        </w:rPr>
      </w:pPr>
    </w:p>
    <w:p w:rsidR="000835AE" w:rsidRPr="00D42B42" w:rsidRDefault="000835AE" w:rsidP="00D42B42">
      <w:pPr>
        <w:pStyle w:val="a4"/>
        <w:ind w:left="-142"/>
        <w:rPr>
          <w:sz w:val="14"/>
          <w:szCs w:val="14"/>
        </w:rPr>
      </w:pPr>
      <w:bookmarkStart w:id="1" w:name="_MON_1759228808"/>
      <w:bookmarkEnd w:id="1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8"/>
        <w:gridCol w:w="3269"/>
        <w:gridCol w:w="1045"/>
        <w:gridCol w:w="1083"/>
        <w:gridCol w:w="1181"/>
        <w:gridCol w:w="1035"/>
        <w:gridCol w:w="1561"/>
        <w:gridCol w:w="1114"/>
        <w:gridCol w:w="1561"/>
        <w:gridCol w:w="1136"/>
        <w:gridCol w:w="1561"/>
        <w:gridCol w:w="1016"/>
      </w:tblGrid>
      <w:tr w:rsidR="001E4EB1" w:rsidRPr="001E4EB1" w:rsidTr="001E4EB1">
        <w:trPr>
          <w:trHeight w:val="375"/>
        </w:trPr>
        <w:tc>
          <w:tcPr>
            <w:tcW w:w="629" w:type="dxa"/>
            <w:vMerge w:val="restart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1E4EB1">
              <w:rPr>
                <w:b w:val="0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1E4EB1">
              <w:rPr>
                <w:b w:val="0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4676" w:type="dxa"/>
            <w:vMerge w:val="restart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Показатели</w:t>
            </w:r>
          </w:p>
        </w:tc>
        <w:tc>
          <w:tcPr>
            <w:tcW w:w="1426" w:type="dxa"/>
            <w:vMerge w:val="restart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Единица измерения</w:t>
            </w:r>
          </w:p>
        </w:tc>
        <w:tc>
          <w:tcPr>
            <w:tcW w:w="1482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отчет</w:t>
            </w:r>
          </w:p>
        </w:tc>
        <w:tc>
          <w:tcPr>
            <w:tcW w:w="1625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отчет</w:t>
            </w:r>
          </w:p>
        </w:tc>
        <w:tc>
          <w:tcPr>
            <w:tcW w:w="1412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оценка</w:t>
            </w:r>
          </w:p>
        </w:tc>
        <w:tc>
          <w:tcPr>
            <w:tcW w:w="11010" w:type="dxa"/>
            <w:gridSpan w:val="6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прогноз</w:t>
            </w:r>
          </w:p>
        </w:tc>
      </w:tr>
      <w:tr w:rsidR="001E4EB1" w:rsidRPr="001E4EB1" w:rsidTr="001E4EB1">
        <w:trPr>
          <w:trHeight w:val="322"/>
        </w:trPr>
        <w:tc>
          <w:tcPr>
            <w:tcW w:w="629" w:type="dxa"/>
            <w:vMerge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676" w:type="dxa"/>
            <w:vMerge/>
            <w:hideMark/>
          </w:tcPr>
          <w:p w:rsidR="001E4EB1" w:rsidRPr="001E4EB1" w:rsidRDefault="001E4EB1" w:rsidP="001E4EB1">
            <w:pPr>
              <w:pStyle w:val="a4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26" w:type="dxa"/>
            <w:vMerge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625" w:type="dxa"/>
            <w:vMerge w:val="restart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412" w:type="dxa"/>
            <w:vMerge w:val="restart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3707" w:type="dxa"/>
            <w:gridSpan w:val="2"/>
            <w:vMerge w:val="restart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3739" w:type="dxa"/>
            <w:gridSpan w:val="2"/>
            <w:vMerge w:val="restart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564" w:type="dxa"/>
            <w:gridSpan w:val="2"/>
            <w:vMerge w:val="restart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2026</w:t>
            </w:r>
          </w:p>
        </w:tc>
      </w:tr>
      <w:tr w:rsidR="001E4EB1" w:rsidRPr="001E4EB1" w:rsidTr="00C235AC">
        <w:trPr>
          <w:trHeight w:val="184"/>
        </w:trPr>
        <w:tc>
          <w:tcPr>
            <w:tcW w:w="629" w:type="dxa"/>
            <w:vMerge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676" w:type="dxa"/>
            <w:vMerge/>
            <w:hideMark/>
          </w:tcPr>
          <w:p w:rsidR="001E4EB1" w:rsidRPr="001E4EB1" w:rsidRDefault="001E4EB1" w:rsidP="001E4EB1">
            <w:pPr>
              <w:pStyle w:val="a4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26" w:type="dxa"/>
            <w:vMerge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  <w:vMerge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vMerge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  <w:vMerge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3707" w:type="dxa"/>
            <w:gridSpan w:val="2"/>
            <w:vMerge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gridSpan w:val="2"/>
            <w:vMerge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1E4EB1" w:rsidRPr="001E4EB1" w:rsidTr="001E4EB1">
        <w:trPr>
          <w:trHeight w:val="367"/>
        </w:trPr>
        <w:tc>
          <w:tcPr>
            <w:tcW w:w="629" w:type="dxa"/>
            <w:vMerge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676" w:type="dxa"/>
            <w:vMerge/>
            <w:hideMark/>
          </w:tcPr>
          <w:p w:rsidR="001E4EB1" w:rsidRPr="001E4EB1" w:rsidRDefault="001E4EB1" w:rsidP="001E4EB1">
            <w:pPr>
              <w:pStyle w:val="a4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26" w:type="dxa"/>
            <w:vMerge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  <w:vMerge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vMerge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  <w:vMerge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консервативный</w:t>
            </w:r>
          </w:p>
        </w:tc>
        <w:tc>
          <w:tcPr>
            <w:tcW w:w="1527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базовый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консервативный</w:t>
            </w:r>
          </w:p>
        </w:tc>
        <w:tc>
          <w:tcPr>
            <w:tcW w:w="1559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базовый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консервативный</w:t>
            </w:r>
          </w:p>
        </w:tc>
        <w:tc>
          <w:tcPr>
            <w:tcW w:w="1384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базовый</w:t>
            </w:r>
          </w:p>
        </w:tc>
      </w:tr>
      <w:tr w:rsidR="001E4EB1" w:rsidRPr="001E4EB1" w:rsidTr="001E4EB1">
        <w:trPr>
          <w:trHeight w:val="375"/>
        </w:trPr>
        <w:tc>
          <w:tcPr>
            <w:tcW w:w="629" w:type="dxa"/>
            <w:noWrap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676" w:type="dxa"/>
            <w:noWrap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26" w:type="dxa"/>
            <w:noWrap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2" w:type="dxa"/>
            <w:noWrap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625" w:type="dxa"/>
            <w:noWrap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12" w:type="dxa"/>
            <w:noWrap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180" w:type="dxa"/>
            <w:noWrap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527" w:type="dxa"/>
            <w:noWrap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180" w:type="dxa"/>
            <w:noWrap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559" w:type="dxa"/>
            <w:noWrap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180" w:type="dxa"/>
            <w:noWrap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384" w:type="dxa"/>
            <w:noWrap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12</w:t>
            </w:r>
          </w:p>
        </w:tc>
      </w:tr>
      <w:tr w:rsidR="001E4EB1" w:rsidRPr="001E4EB1" w:rsidTr="001E4EB1">
        <w:trPr>
          <w:trHeight w:val="325"/>
        </w:trPr>
        <w:tc>
          <w:tcPr>
            <w:tcW w:w="629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676" w:type="dxa"/>
            <w:hideMark/>
          </w:tcPr>
          <w:p w:rsidR="001E4EB1" w:rsidRPr="001E4EB1" w:rsidRDefault="001E4EB1" w:rsidP="001E4EB1">
            <w:pPr>
              <w:pStyle w:val="a4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Среднегодовая численность населения</w:t>
            </w:r>
          </w:p>
        </w:tc>
        <w:tc>
          <w:tcPr>
            <w:tcW w:w="1426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тыс. человек</w:t>
            </w:r>
          </w:p>
        </w:tc>
        <w:tc>
          <w:tcPr>
            <w:tcW w:w="1482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111,44</w:t>
            </w:r>
          </w:p>
        </w:tc>
        <w:tc>
          <w:tcPr>
            <w:tcW w:w="1625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94,94</w:t>
            </w:r>
          </w:p>
        </w:tc>
        <w:tc>
          <w:tcPr>
            <w:tcW w:w="1412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93,34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91,79</w:t>
            </w:r>
          </w:p>
        </w:tc>
        <w:tc>
          <w:tcPr>
            <w:tcW w:w="1527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91,87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90,34</w:t>
            </w:r>
          </w:p>
        </w:tc>
        <w:tc>
          <w:tcPr>
            <w:tcW w:w="1559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90,64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88,89</w:t>
            </w:r>
          </w:p>
        </w:tc>
        <w:tc>
          <w:tcPr>
            <w:tcW w:w="1384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89,49</w:t>
            </w:r>
          </w:p>
        </w:tc>
      </w:tr>
      <w:tr w:rsidR="001E4EB1" w:rsidRPr="001E4EB1" w:rsidTr="001E4EB1">
        <w:trPr>
          <w:trHeight w:val="419"/>
        </w:trPr>
        <w:tc>
          <w:tcPr>
            <w:tcW w:w="629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676" w:type="dxa"/>
            <w:hideMark/>
          </w:tcPr>
          <w:p w:rsidR="001E4EB1" w:rsidRPr="001E4EB1" w:rsidRDefault="001E4EB1" w:rsidP="001E4EB1">
            <w:pPr>
              <w:pStyle w:val="a4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Естественный прирост, убыль</w:t>
            </w:r>
            <w:proofErr w:type="gramStart"/>
            <w:r w:rsidRPr="001E4EB1">
              <w:rPr>
                <w:b w:val="0"/>
                <w:color w:val="000000" w:themeColor="text1"/>
                <w:sz w:val="16"/>
                <w:szCs w:val="16"/>
              </w:rPr>
              <w:t xml:space="preserve"> (-) </w:t>
            </w:r>
            <w:proofErr w:type="gramEnd"/>
            <w:r w:rsidRPr="001E4EB1">
              <w:rPr>
                <w:b w:val="0"/>
                <w:color w:val="000000" w:themeColor="text1"/>
                <w:sz w:val="16"/>
                <w:szCs w:val="16"/>
              </w:rPr>
              <w:t>населения</w:t>
            </w:r>
          </w:p>
        </w:tc>
        <w:tc>
          <w:tcPr>
            <w:tcW w:w="1426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тыс. человек</w:t>
            </w:r>
          </w:p>
        </w:tc>
        <w:tc>
          <w:tcPr>
            <w:tcW w:w="1482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-0,81</w:t>
            </w:r>
          </w:p>
        </w:tc>
        <w:tc>
          <w:tcPr>
            <w:tcW w:w="1625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-0,52</w:t>
            </w:r>
          </w:p>
        </w:tc>
        <w:tc>
          <w:tcPr>
            <w:tcW w:w="1412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-0,45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-0,55</w:t>
            </w:r>
          </w:p>
        </w:tc>
        <w:tc>
          <w:tcPr>
            <w:tcW w:w="1527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-0,45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-0,55</w:t>
            </w:r>
          </w:p>
        </w:tc>
        <w:tc>
          <w:tcPr>
            <w:tcW w:w="1559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-0,45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-0,55</w:t>
            </w:r>
          </w:p>
        </w:tc>
        <w:tc>
          <w:tcPr>
            <w:tcW w:w="1384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-0,45</w:t>
            </w:r>
          </w:p>
        </w:tc>
      </w:tr>
      <w:tr w:rsidR="001E4EB1" w:rsidRPr="001E4EB1" w:rsidTr="001E4EB1">
        <w:trPr>
          <w:trHeight w:val="545"/>
        </w:trPr>
        <w:tc>
          <w:tcPr>
            <w:tcW w:w="629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676" w:type="dxa"/>
            <w:hideMark/>
          </w:tcPr>
          <w:p w:rsidR="001E4EB1" w:rsidRPr="001E4EB1" w:rsidRDefault="001E4EB1" w:rsidP="001E4EB1">
            <w:pPr>
              <w:pStyle w:val="a4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Миграционный прирост, убыль</w:t>
            </w:r>
            <w:proofErr w:type="gramStart"/>
            <w:r w:rsidRPr="001E4EB1">
              <w:rPr>
                <w:b w:val="0"/>
                <w:color w:val="000000" w:themeColor="text1"/>
                <w:sz w:val="16"/>
                <w:szCs w:val="16"/>
              </w:rPr>
              <w:t xml:space="preserve"> (-) </w:t>
            </w:r>
            <w:proofErr w:type="gramEnd"/>
            <w:r w:rsidRPr="001E4EB1">
              <w:rPr>
                <w:b w:val="0"/>
                <w:color w:val="000000" w:themeColor="text1"/>
                <w:sz w:val="16"/>
                <w:szCs w:val="16"/>
              </w:rPr>
              <w:t>населения</w:t>
            </w:r>
          </w:p>
        </w:tc>
        <w:tc>
          <w:tcPr>
            <w:tcW w:w="1426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тыс. человек</w:t>
            </w:r>
          </w:p>
        </w:tc>
        <w:tc>
          <w:tcPr>
            <w:tcW w:w="1482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-0,85</w:t>
            </w:r>
          </w:p>
        </w:tc>
        <w:tc>
          <w:tcPr>
            <w:tcW w:w="1625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-1,03</w:t>
            </w:r>
          </w:p>
        </w:tc>
        <w:tc>
          <w:tcPr>
            <w:tcW w:w="1412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-1,20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-0,90</w:t>
            </w:r>
          </w:p>
        </w:tc>
        <w:tc>
          <w:tcPr>
            <w:tcW w:w="1527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-0,85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-0,90</w:t>
            </w:r>
          </w:p>
        </w:tc>
        <w:tc>
          <w:tcPr>
            <w:tcW w:w="1559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-0,70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-0,90</w:t>
            </w:r>
          </w:p>
        </w:tc>
        <w:tc>
          <w:tcPr>
            <w:tcW w:w="1384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-0,70</w:t>
            </w:r>
          </w:p>
        </w:tc>
      </w:tr>
      <w:tr w:rsidR="001E4EB1" w:rsidRPr="001E4EB1" w:rsidTr="001E4EB1">
        <w:trPr>
          <w:trHeight w:val="705"/>
        </w:trPr>
        <w:tc>
          <w:tcPr>
            <w:tcW w:w="629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676" w:type="dxa"/>
            <w:hideMark/>
          </w:tcPr>
          <w:p w:rsidR="001E4EB1" w:rsidRPr="001E4EB1" w:rsidRDefault="001E4EB1" w:rsidP="001E4EB1">
            <w:pPr>
              <w:pStyle w:val="a4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Среднемесячная номинальная начисленная заработная плата работников (без субъектов малого предпринимательства)</w:t>
            </w:r>
          </w:p>
        </w:tc>
        <w:tc>
          <w:tcPr>
            <w:tcW w:w="1426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тыс.  рублей</w:t>
            </w:r>
          </w:p>
        </w:tc>
        <w:tc>
          <w:tcPr>
            <w:tcW w:w="1482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73,77</w:t>
            </w:r>
          </w:p>
        </w:tc>
        <w:tc>
          <w:tcPr>
            <w:tcW w:w="1625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84,07</w:t>
            </w:r>
          </w:p>
        </w:tc>
        <w:tc>
          <w:tcPr>
            <w:tcW w:w="1412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94,16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98,11</w:t>
            </w:r>
          </w:p>
        </w:tc>
        <w:tc>
          <w:tcPr>
            <w:tcW w:w="1527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98,86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102,23</w:t>
            </w:r>
          </w:p>
        </w:tc>
        <w:tc>
          <w:tcPr>
            <w:tcW w:w="1559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103,81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106,52</w:t>
            </w:r>
          </w:p>
        </w:tc>
        <w:tc>
          <w:tcPr>
            <w:tcW w:w="1384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109,00</w:t>
            </w:r>
          </w:p>
        </w:tc>
      </w:tr>
      <w:tr w:rsidR="001E4EB1" w:rsidRPr="001E4EB1" w:rsidTr="001E4EB1">
        <w:trPr>
          <w:trHeight w:val="663"/>
        </w:trPr>
        <w:tc>
          <w:tcPr>
            <w:tcW w:w="629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676" w:type="dxa"/>
            <w:hideMark/>
          </w:tcPr>
          <w:p w:rsidR="001E4EB1" w:rsidRPr="001E4EB1" w:rsidRDefault="001E4EB1" w:rsidP="001E4EB1">
            <w:pPr>
              <w:pStyle w:val="a4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Среднесписочная численность работников организаций (без субъектов малого предпринимательства)</w:t>
            </w:r>
          </w:p>
        </w:tc>
        <w:tc>
          <w:tcPr>
            <w:tcW w:w="1426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тыс. человек</w:t>
            </w:r>
          </w:p>
        </w:tc>
        <w:tc>
          <w:tcPr>
            <w:tcW w:w="1482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33,52</w:t>
            </w:r>
          </w:p>
        </w:tc>
        <w:tc>
          <w:tcPr>
            <w:tcW w:w="1625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32,83</w:t>
            </w:r>
          </w:p>
        </w:tc>
        <w:tc>
          <w:tcPr>
            <w:tcW w:w="1412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32,10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31,24</w:t>
            </w:r>
          </w:p>
        </w:tc>
        <w:tc>
          <w:tcPr>
            <w:tcW w:w="1527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31,33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30,49</w:t>
            </w:r>
          </w:p>
        </w:tc>
        <w:tc>
          <w:tcPr>
            <w:tcW w:w="1559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30,76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29,82</w:t>
            </w:r>
          </w:p>
        </w:tc>
        <w:tc>
          <w:tcPr>
            <w:tcW w:w="1384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30,18</w:t>
            </w:r>
          </w:p>
        </w:tc>
      </w:tr>
      <w:tr w:rsidR="001E4EB1" w:rsidRPr="001E4EB1" w:rsidTr="001E4EB1">
        <w:trPr>
          <w:trHeight w:val="828"/>
        </w:trPr>
        <w:tc>
          <w:tcPr>
            <w:tcW w:w="629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676" w:type="dxa"/>
            <w:hideMark/>
          </w:tcPr>
          <w:p w:rsidR="001E4EB1" w:rsidRPr="001E4EB1" w:rsidRDefault="001E4EB1" w:rsidP="001E4EB1">
            <w:pPr>
              <w:pStyle w:val="a4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 xml:space="preserve">Фонд заработной платы, начисленной работникам списочного и </w:t>
            </w:r>
            <w:proofErr w:type="spellStart"/>
            <w:r w:rsidRPr="001E4EB1">
              <w:rPr>
                <w:b w:val="0"/>
                <w:color w:val="000000" w:themeColor="text1"/>
                <w:sz w:val="16"/>
                <w:szCs w:val="16"/>
              </w:rPr>
              <w:t>несписочного</w:t>
            </w:r>
            <w:proofErr w:type="spellEnd"/>
            <w:r w:rsidRPr="001E4EB1">
              <w:rPr>
                <w:b w:val="0"/>
                <w:color w:val="000000" w:themeColor="text1"/>
                <w:sz w:val="16"/>
                <w:szCs w:val="16"/>
              </w:rPr>
              <w:t xml:space="preserve"> состава в организациях (без субъектов малого предпринимательства)</w:t>
            </w:r>
          </w:p>
        </w:tc>
        <w:tc>
          <w:tcPr>
            <w:tcW w:w="1426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млн.  рублей</w:t>
            </w:r>
          </w:p>
        </w:tc>
        <w:tc>
          <w:tcPr>
            <w:tcW w:w="1482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29 675,90</w:t>
            </w:r>
          </w:p>
        </w:tc>
        <w:tc>
          <w:tcPr>
            <w:tcW w:w="1625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33 118,01</w:t>
            </w:r>
          </w:p>
        </w:tc>
        <w:tc>
          <w:tcPr>
            <w:tcW w:w="1412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36 272,32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36 777,30</w:t>
            </w:r>
          </w:p>
        </w:tc>
        <w:tc>
          <w:tcPr>
            <w:tcW w:w="1527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37 169,92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37 402,22</w:t>
            </w:r>
          </w:p>
        </w:tc>
        <w:tc>
          <w:tcPr>
            <w:tcW w:w="1559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38 319,86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38 115,71</w:t>
            </w:r>
          </w:p>
        </w:tc>
        <w:tc>
          <w:tcPr>
            <w:tcW w:w="1384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39 473,37</w:t>
            </w:r>
          </w:p>
        </w:tc>
      </w:tr>
      <w:tr w:rsidR="001E4EB1" w:rsidRPr="001E4EB1" w:rsidTr="001E4EB1">
        <w:trPr>
          <w:trHeight w:val="559"/>
        </w:trPr>
        <w:tc>
          <w:tcPr>
            <w:tcW w:w="629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676" w:type="dxa"/>
            <w:hideMark/>
          </w:tcPr>
          <w:p w:rsidR="001E4EB1" w:rsidRPr="001E4EB1" w:rsidRDefault="001E4EB1" w:rsidP="001E4EB1">
            <w:pPr>
              <w:pStyle w:val="a4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Уровень зарегистрированной безработицы (на конец года)</w:t>
            </w:r>
          </w:p>
        </w:tc>
        <w:tc>
          <w:tcPr>
            <w:tcW w:w="1426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482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0,57</w:t>
            </w:r>
          </w:p>
        </w:tc>
        <w:tc>
          <w:tcPr>
            <w:tcW w:w="1625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0,55</w:t>
            </w:r>
          </w:p>
        </w:tc>
        <w:tc>
          <w:tcPr>
            <w:tcW w:w="1412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0,60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0,60</w:t>
            </w:r>
          </w:p>
        </w:tc>
        <w:tc>
          <w:tcPr>
            <w:tcW w:w="1527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0,55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0,60</w:t>
            </w:r>
          </w:p>
        </w:tc>
        <w:tc>
          <w:tcPr>
            <w:tcW w:w="1559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0,55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0,60</w:t>
            </w:r>
          </w:p>
        </w:tc>
        <w:tc>
          <w:tcPr>
            <w:tcW w:w="1384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0,55</w:t>
            </w:r>
          </w:p>
        </w:tc>
      </w:tr>
      <w:tr w:rsidR="001E4EB1" w:rsidRPr="001E4EB1" w:rsidTr="001E4EB1">
        <w:trPr>
          <w:trHeight w:val="868"/>
        </w:trPr>
        <w:tc>
          <w:tcPr>
            <w:tcW w:w="629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676" w:type="dxa"/>
            <w:hideMark/>
          </w:tcPr>
          <w:p w:rsidR="001E4EB1" w:rsidRPr="001E4EB1" w:rsidRDefault="001E4EB1" w:rsidP="001E4EB1">
            <w:pPr>
              <w:pStyle w:val="a4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Оборот организаций (по организациям со средней численностью работников свыше 15 человек, без субъектов малого предпринимательства; в фактически действовавших ценах)</w:t>
            </w:r>
          </w:p>
        </w:tc>
        <w:tc>
          <w:tcPr>
            <w:tcW w:w="1426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млн.  рублей</w:t>
            </w:r>
          </w:p>
        </w:tc>
        <w:tc>
          <w:tcPr>
            <w:tcW w:w="1482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392 427,20</w:t>
            </w:r>
          </w:p>
        </w:tc>
        <w:tc>
          <w:tcPr>
            <w:tcW w:w="1625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433 010,60</w:t>
            </w:r>
          </w:p>
        </w:tc>
        <w:tc>
          <w:tcPr>
            <w:tcW w:w="1412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409 195,02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388 735,27</w:t>
            </w:r>
          </w:p>
        </w:tc>
        <w:tc>
          <w:tcPr>
            <w:tcW w:w="1527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401 011,12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373 185,86</w:t>
            </w:r>
          </w:p>
        </w:tc>
        <w:tc>
          <w:tcPr>
            <w:tcW w:w="1559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397 001,01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361 990,28</w:t>
            </w:r>
          </w:p>
        </w:tc>
        <w:tc>
          <w:tcPr>
            <w:tcW w:w="1384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397 398,01</w:t>
            </w:r>
          </w:p>
        </w:tc>
      </w:tr>
      <w:tr w:rsidR="001E4EB1" w:rsidRPr="001E4EB1" w:rsidTr="001E4EB1">
        <w:trPr>
          <w:trHeight w:val="1174"/>
        </w:trPr>
        <w:tc>
          <w:tcPr>
            <w:tcW w:w="629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676" w:type="dxa"/>
            <w:hideMark/>
          </w:tcPr>
          <w:p w:rsidR="001E4EB1" w:rsidRPr="001E4EB1" w:rsidRDefault="001E4EB1" w:rsidP="001E4EB1">
            <w:pPr>
              <w:pStyle w:val="a4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Инвестиции в основной капитал (без субъектов малого предпринимательства и объема инвестиций, не наблюдаемых прямыми статистическими методами; в фактически действовавших ценах)</w:t>
            </w:r>
          </w:p>
        </w:tc>
        <w:tc>
          <w:tcPr>
            <w:tcW w:w="1426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млн.  рублей</w:t>
            </w:r>
          </w:p>
        </w:tc>
        <w:tc>
          <w:tcPr>
            <w:tcW w:w="1482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32 157,70</w:t>
            </w:r>
          </w:p>
        </w:tc>
        <w:tc>
          <w:tcPr>
            <w:tcW w:w="1625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25 273,30</w:t>
            </w:r>
          </w:p>
        </w:tc>
        <w:tc>
          <w:tcPr>
            <w:tcW w:w="1412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20 218,64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18 115,90</w:t>
            </w:r>
          </w:p>
        </w:tc>
        <w:tc>
          <w:tcPr>
            <w:tcW w:w="1527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20 418,80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17 047,06</w:t>
            </w:r>
          </w:p>
        </w:tc>
        <w:tc>
          <w:tcPr>
            <w:tcW w:w="1559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19 520,38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17 248,22</w:t>
            </w:r>
          </w:p>
        </w:tc>
        <w:tc>
          <w:tcPr>
            <w:tcW w:w="1384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19 756,57</w:t>
            </w:r>
          </w:p>
        </w:tc>
      </w:tr>
      <w:tr w:rsidR="001E4EB1" w:rsidRPr="001E4EB1" w:rsidTr="001E4EB1">
        <w:trPr>
          <w:trHeight w:val="443"/>
        </w:trPr>
        <w:tc>
          <w:tcPr>
            <w:tcW w:w="629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676" w:type="dxa"/>
            <w:hideMark/>
          </w:tcPr>
          <w:p w:rsidR="001E4EB1" w:rsidRPr="001E4EB1" w:rsidRDefault="001E4EB1" w:rsidP="001E4EB1">
            <w:pPr>
              <w:pStyle w:val="a4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Ввод в действие жилых домов</w:t>
            </w:r>
          </w:p>
        </w:tc>
        <w:tc>
          <w:tcPr>
            <w:tcW w:w="1426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тыс. кв. м</w:t>
            </w:r>
          </w:p>
        </w:tc>
        <w:tc>
          <w:tcPr>
            <w:tcW w:w="1482" w:type="dxa"/>
            <w:noWrap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4,15</w:t>
            </w:r>
          </w:p>
        </w:tc>
        <w:tc>
          <w:tcPr>
            <w:tcW w:w="1625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4,61</w:t>
            </w:r>
          </w:p>
        </w:tc>
        <w:tc>
          <w:tcPr>
            <w:tcW w:w="1412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6,50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0,60</w:t>
            </w:r>
          </w:p>
        </w:tc>
        <w:tc>
          <w:tcPr>
            <w:tcW w:w="1527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3,50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0,60</w:t>
            </w:r>
          </w:p>
        </w:tc>
        <w:tc>
          <w:tcPr>
            <w:tcW w:w="1559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3,50</w:t>
            </w:r>
          </w:p>
        </w:tc>
        <w:tc>
          <w:tcPr>
            <w:tcW w:w="2180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0,60</w:t>
            </w:r>
          </w:p>
        </w:tc>
        <w:tc>
          <w:tcPr>
            <w:tcW w:w="1384" w:type="dxa"/>
            <w:hideMark/>
          </w:tcPr>
          <w:p w:rsidR="001E4EB1" w:rsidRPr="001E4EB1" w:rsidRDefault="001E4EB1" w:rsidP="001E4EB1">
            <w:pPr>
              <w:pStyle w:val="a4"/>
              <w:rPr>
                <w:b w:val="0"/>
                <w:color w:val="000000" w:themeColor="text1"/>
                <w:sz w:val="16"/>
                <w:szCs w:val="16"/>
              </w:rPr>
            </w:pPr>
            <w:r w:rsidRPr="001E4EB1">
              <w:rPr>
                <w:b w:val="0"/>
                <w:color w:val="000000" w:themeColor="text1"/>
                <w:sz w:val="16"/>
                <w:szCs w:val="16"/>
              </w:rPr>
              <w:t>3,50</w:t>
            </w:r>
          </w:p>
        </w:tc>
      </w:tr>
    </w:tbl>
    <w:p w:rsidR="00CC2056" w:rsidRDefault="00CC2056" w:rsidP="000835AE">
      <w:pPr>
        <w:pStyle w:val="a4"/>
        <w:jc w:val="right"/>
        <w:rPr>
          <w:b w:val="0"/>
          <w:color w:val="000000" w:themeColor="text1"/>
          <w:sz w:val="20"/>
          <w:szCs w:val="20"/>
        </w:rPr>
        <w:sectPr w:rsidR="00CC2056" w:rsidSect="00053B96">
          <w:pgSz w:w="16837" w:h="11905" w:orient="landscape"/>
          <w:pgMar w:top="567" w:right="426" w:bottom="284" w:left="567" w:header="0" w:footer="6" w:gutter="0"/>
          <w:cols w:space="720"/>
          <w:noEndnote/>
          <w:docGrid w:linePitch="360"/>
        </w:sectPr>
      </w:pPr>
    </w:p>
    <w:p w:rsidR="000835AE" w:rsidRPr="00BF637E" w:rsidRDefault="000835AE" w:rsidP="000835AE">
      <w:pPr>
        <w:pStyle w:val="a4"/>
        <w:jc w:val="right"/>
        <w:rPr>
          <w:b w:val="0"/>
          <w:color w:val="000000" w:themeColor="text1"/>
          <w:sz w:val="20"/>
          <w:szCs w:val="20"/>
        </w:rPr>
      </w:pPr>
      <w:r w:rsidRPr="00BF637E">
        <w:rPr>
          <w:b w:val="0"/>
          <w:color w:val="000000" w:themeColor="text1"/>
          <w:sz w:val="20"/>
          <w:szCs w:val="20"/>
        </w:rPr>
        <w:lastRenderedPageBreak/>
        <w:t>Приложение</w:t>
      </w:r>
    </w:p>
    <w:p w:rsidR="000835AE" w:rsidRPr="00BF637E" w:rsidRDefault="000835AE" w:rsidP="000835AE">
      <w:pPr>
        <w:pStyle w:val="a4"/>
        <w:jc w:val="right"/>
        <w:rPr>
          <w:b w:val="0"/>
          <w:color w:val="000000" w:themeColor="text1"/>
          <w:sz w:val="20"/>
          <w:szCs w:val="20"/>
        </w:rPr>
      </w:pPr>
      <w:r w:rsidRPr="00BF637E">
        <w:rPr>
          <w:b w:val="0"/>
          <w:color w:val="000000" w:themeColor="text1"/>
          <w:sz w:val="20"/>
          <w:szCs w:val="20"/>
        </w:rPr>
        <w:t>к прогнозу социально-экономического развития</w:t>
      </w:r>
    </w:p>
    <w:p w:rsidR="000835AE" w:rsidRPr="00BF637E" w:rsidRDefault="000835AE" w:rsidP="000835AE">
      <w:pPr>
        <w:pStyle w:val="a4"/>
        <w:jc w:val="right"/>
        <w:rPr>
          <w:b w:val="0"/>
          <w:color w:val="000000" w:themeColor="text1"/>
          <w:sz w:val="20"/>
          <w:szCs w:val="20"/>
        </w:rPr>
      </w:pPr>
      <w:r w:rsidRPr="00BF637E">
        <w:rPr>
          <w:b w:val="0"/>
          <w:color w:val="000000" w:themeColor="text1"/>
          <w:sz w:val="20"/>
          <w:szCs w:val="20"/>
        </w:rPr>
        <w:t>муниципального образования городского округа «Ухта»</w:t>
      </w:r>
    </w:p>
    <w:p w:rsidR="000835AE" w:rsidRPr="00BF637E" w:rsidRDefault="000835AE" w:rsidP="000835AE">
      <w:pPr>
        <w:pStyle w:val="a4"/>
        <w:jc w:val="right"/>
        <w:rPr>
          <w:b w:val="0"/>
          <w:color w:val="000000" w:themeColor="text1"/>
        </w:rPr>
      </w:pPr>
      <w:r w:rsidRPr="00BF637E">
        <w:rPr>
          <w:b w:val="0"/>
          <w:color w:val="000000" w:themeColor="text1"/>
          <w:sz w:val="20"/>
          <w:szCs w:val="20"/>
        </w:rPr>
        <w:t>на 202</w:t>
      </w:r>
      <w:r>
        <w:rPr>
          <w:b w:val="0"/>
          <w:color w:val="000000" w:themeColor="text1"/>
          <w:sz w:val="20"/>
          <w:szCs w:val="20"/>
        </w:rPr>
        <w:t>4</w:t>
      </w:r>
      <w:r w:rsidRPr="00BF637E">
        <w:rPr>
          <w:b w:val="0"/>
          <w:color w:val="000000" w:themeColor="text1"/>
          <w:sz w:val="20"/>
          <w:szCs w:val="20"/>
        </w:rPr>
        <w:t xml:space="preserve"> год и на период до 202</w:t>
      </w:r>
      <w:r>
        <w:rPr>
          <w:b w:val="0"/>
          <w:color w:val="000000" w:themeColor="text1"/>
          <w:sz w:val="20"/>
          <w:szCs w:val="20"/>
        </w:rPr>
        <w:t>6</w:t>
      </w:r>
      <w:r w:rsidRPr="00BF637E">
        <w:rPr>
          <w:b w:val="0"/>
          <w:color w:val="000000" w:themeColor="text1"/>
          <w:sz w:val="20"/>
          <w:szCs w:val="20"/>
        </w:rPr>
        <w:t xml:space="preserve"> года</w:t>
      </w:r>
    </w:p>
    <w:p w:rsidR="000835AE" w:rsidRPr="00BF637E" w:rsidRDefault="000835AE" w:rsidP="000835AE">
      <w:pPr>
        <w:suppressAutoHyphens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42B42" w:rsidRPr="00BF637E" w:rsidRDefault="00D42B42" w:rsidP="000835AE">
      <w:pPr>
        <w:suppressAutoHyphens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835AE" w:rsidRPr="00C235AC" w:rsidRDefault="000835AE" w:rsidP="000835AE">
      <w:pPr>
        <w:suppressAutoHyphens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5AC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</w:p>
    <w:p w:rsidR="00C235AC" w:rsidRDefault="000835AE" w:rsidP="000835AE">
      <w:pPr>
        <w:suppressAutoHyphens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к прогнозу социально-экономического развития МОГО «Ухта»</w:t>
      </w:r>
    </w:p>
    <w:p w:rsidR="000835AE" w:rsidRDefault="000835AE" w:rsidP="000835AE">
      <w:pPr>
        <w:suppressAutoHyphens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на 2024 год и на период до 2026 года</w:t>
      </w:r>
    </w:p>
    <w:p w:rsidR="00D42B42" w:rsidRPr="000835AE" w:rsidRDefault="00D42B42" w:rsidP="000835AE">
      <w:pPr>
        <w:suppressAutoHyphens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35AE" w:rsidRPr="000835AE" w:rsidRDefault="00F421E7" w:rsidP="00C235AC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1E7">
        <w:rPr>
          <w:rFonts w:ascii="Times New Roman" w:hAnsi="Times New Roman" w:cs="Times New Roman"/>
          <w:color w:val="000000" w:themeColor="text1"/>
          <w:sz w:val="28"/>
          <w:szCs w:val="28"/>
        </w:rPr>
        <w:t>Прогноз социально-экономического развития МОГО «Ухта» на 2024 год и на период до 2026 года (далее - прогноз) разработан</w:t>
      </w:r>
      <w:r w:rsidR="000835AE"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двух вариантах (консервативный и базовый), учитывая вероятностные воздействия внутренних и внешних политических, экономических и иных факторов.</w:t>
      </w:r>
    </w:p>
    <w:p w:rsidR="00F421E7" w:rsidRDefault="00C235AC" w:rsidP="00C235AC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Консервативный вариант основан на предпосылке о менее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благоприятной геополитической и санитарно-эпидемиологической</w:t>
      </w:r>
      <w:r w:rsidR="008F386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ситуации, затяжном 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осстановлении экономики и структурном замедлении темпов ее роста в среднесрочной 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перспективе.</w:t>
      </w:r>
      <w:r w:rsidR="00F421E7" w:rsidRPr="00F421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F421E7" w:rsidRPr="000835AE" w:rsidRDefault="00C235AC" w:rsidP="00C235AC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Базовый </w:t>
      </w:r>
      <w:r w:rsidR="00F421E7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вариант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описывает наиболее вероятный сценарий развития экономики с </w:t>
      </w:r>
      <w:r w:rsidR="00F421E7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учет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ом ожидаемых внешних условий и </w:t>
      </w:r>
      <w:r w:rsidR="00F421E7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принимаемых мер экономической политики на федеральном</w:t>
      </w:r>
      <w:r w:rsidR="00F421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F421E7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региональном и </w:t>
      </w:r>
      <w:r w:rsidR="00F421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местном </w:t>
      </w:r>
      <w:r w:rsidR="00F421E7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уровнях.</w:t>
      </w:r>
    </w:p>
    <w:p w:rsidR="000835AE" w:rsidRPr="000835AE" w:rsidRDefault="000835AE" w:rsidP="00C235A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2022 году на социально-экономическую ситуацию в</w:t>
      </w:r>
      <w:r w:rsidR="00F421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муниципальном образовании</w:t>
      </w:r>
      <w:r w:rsidRPr="000835A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как и в целом в </w:t>
      </w:r>
      <w:r w:rsidR="00F421E7" w:rsidRPr="000835A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Республике Коми</w:t>
      </w:r>
      <w:r w:rsidRPr="000835A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прежде </w:t>
      </w:r>
      <w:r w:rsidR="008D30EF" w:rsidRPr="000835A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всего,</w:t>
      </w:r>
      <w:r w:rsidRPr="000835A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оказало влияние ухудшение ситуации на финансовых рынках, в системе организации производства и поставок продукции, вызванное </w:t>
      </w:r>
      <w:proofErr w:type="spellStart"/>
      <w:r w:rsidRPr="000835A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санкционным</w:t>
      </w:r>
      <w:proofErr w:type="spellEnd"/>
      <w:r w:rsidRPr="000835A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давлением.</w:t>
      </w:r>
    </w:p>
    <w:p w:rsidR="000835AE" w:rsidRPr="000835AE" w:rsidRDefault="00C235AC" w:rsidP="00C235AC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Наиболее значимые позитивные итоги социально-экономического 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развития муниципального образования за 2022 год:</w:t>
      </w:r>
    </w:p>
    <w:p w:rsidR="000835AE" w:rsidRPr="000835AE" w:rsidRDefault="000835AE" w:rsidP="00C235AC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увеличение производства по видам деятельности «Добыча полезных ископаемых», «Обрабатывающие производства», «Водоснабжение; водоотведение, организация сбора и утилизации отходов, деятельность по ликвидации загрязнений», «Обеспечение электрической энергией, газом и паром; кондиционирование воздуха»;</w:t>
      </w:r>
    </w:p>
    <w:p w:rsidR="000835AE" w:rsidRPr="000835AE" w:rsidRDefault="000835AE" w:rsidP="00C235AC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увеличение среднемесячной заработной платы работников организаций и среднего размера назначенных пенсий; </w:t>
      </w:r>
    </w:p>
    <w:p w:rsidR="000835AE" w:rsidRPr="000835AE" w:rsidRDefault="000835AE" w:rsidP="00C235AC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снижение уровня безработицы;</w:t>
      </w:r>
    </w:p>
    <w:p w:rsidR="000835AE" w:rsidRPr="000835AE" w:rsidRDefault="000835AE" w:rsidP="00C235AC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увеличение ввода жилья индивидуальными застройщиками;</w:t>
      </w:r>
    </w:p>
    <w:p w:rsidR="000835AE" w:rsidRPr="000835AE" w:rsidRDefault="000835AE" w:rsidP="00C235AC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увеличение доходов бюджета МОГО «Ухта»; </w:t>
      </w:r>
    </w:p>
    <w:p w:rsidR="000835AE" w:rsidRPr="000835AE" w:rsidRDefault="000835AE" w:rsidP="00C235AC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исполнение бюджета МОГО «Ухта» с профицитом;</w:t>
      </w:r>
    </w:p>
    <w:p w:rsidR="000835AE" w:rsidRPr="000835AE" w:rsidRDefault="000835AE" w:rsidP="00C235AC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снижение тенденции естественной убыли населения;</w:t>
      </w:r>
    </w:p>
    <w:p w:rsidR="000835AE" w:rsidRPr="000835AE" w:rsidRDefault="000835AE" w:rsidP="00C235AC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увеличение оборота розничной торговли и  общественного питания;</w:t>
      </w:r>
    </w:p>
    <w:p w:rsidR="000835AE" w:rsidRPr="000835AE" w:rsidRDefault="000835AE" w:rsidP="00C235AC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увеличение количества </w:t>
      </w:r>
      <w:proofErr w:type="spellStart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самозанятых</w:t>
      </w:r>
      <w:proofErr w:type="spellEnd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граждан, зафиксировавших свой статус, с учетом введения налогового режима для </w:t>
      </w:r>
      <w:proofErr w:type="spellStart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самозанятых</w:t>
      </w:r>
      <w:proofErr w:type="spellEnd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0835AE" w:rsidRDefault="000835AE" w:rsidP="00C235AC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2022 году муниципальное образование 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реализации мероприятий муниципальных программ МОГО «Ухта»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которые направлены</w:t>
      </w:r>
      <w:r w:rsidR="008D30E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</w:t>
      </w:r>
      <w:r w:rsidR="008D30E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социально-экономическое </w:t>
      </w:r>
      <w:r w:rsidR="008F386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</w:t>
      </w:r>
      <w:r w:rsidR="00C235A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азвитие 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муниципального образования, принимало участие в реализации региональных проектов Республики Коми. Реализация отдельных мероприятий региональных проектов продолжается в 2023 году и</w:t>
      </w:r>
      <w:r w:rsidR="00F421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продолжится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8F386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прогнозном периоде.</w:t>
      </w:r>
    </w:p>
    <w:p w:rsidR="00C235AC" w:rsidRDefault="00C235AC" w:rsidP="00C235AC">
      <w:pPr>
        <w:suppressAutoHyphens/>
        <w:ind w:firstLine="709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C235AC" w:rsidRDefault="00C235AC" w:rsidP="00C235AC">
      <w:pPr>
        <w:suppressAutoHyphens/>
        <w:ind w:firstLine="709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2</w:t>
      </w:r>
    </w:p>
    <w:p w:rsidR="00C235AC" w:rsidRPr="000835AE" w:rsidRDefault="00C235AC" w:rsidP="00C235AC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0835AE" w:rsidRPr="000835AE" w:rsidRDefault="000835AE" w:rsidP="00C235AC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Наряду с положительными итогами в экономике и социальной сфере наблюдались и </w:t>
      </w:r>
      <w:proofErr w:type="gramStart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негативные</w:t>
      </w:r>
      <w:proofErr w:type="gramEnd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основные из которых: </w:t>
      </w:r>
    </w:p>
    <w:p w:rsidR="000835AE" w:rsidRPr="000835AE" w:rsidRDefault="000835AE" w:rsidP="00C235AC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сокращение объема инвестиций в основной капитал;</w:t>
      </w:r>
    </w:p>
    <w:p w:rsidR="00F421E7" w:rsidRPr="00F421E7" w:rsidRDefault="000835AE" w:rsidP="00C235AC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отсутствие жилищного строительства</w:t>
      </w:r>
      <w:r w:rsidR="00F421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м</w:t>
      </w:r>
      <w:r w:rsidR="00F421E7" w:rsidRPr="00F421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ногоквартирны</w:t>
      </w:r>
      <w:r w:rsidR="00F421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х</w:t>
      </w:r>
      <w:r w:rsidR="00F421E7" w:rsidRPr="00F421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дом</w:t>
      </w:r>
      <w:r w:rsidR="00F421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ов;</w:t>
      </w:r>
    </w:p>
    <w:p w:rsidR="000835AE" w:rsidRPr="000835AE" w:rsidRDefault="000835AE" w:rsidP="00C235AC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снижение количества субъектов малого </w:t>
      </w:r>
      <w:r w:rsidR="00F421E7" w:rsidRPr="00F421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 среднего 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предпринимательства; </w:t>
      </w:r>
    </w:p>
    <w:p w:rsidR="000835AE" w:rsidRPr="000835AE" w:rsidRDefault="000835AE" w:rsidP="00C235AC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сохранение тенденции миграционной убыли населения;</w:t>
      </w:r>
    </w:p>
    <w:p w:rsidR="000835AE" w:rsidRPr="000835AE" w:rsidRDefault="000835AE" w:rsidP="00C235AC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увеличение количества зарегистрированных преступлений.</w:t>
      </w:r>
    </w:p>
    <w:p w:rsidR="000835AE" w:rsidRPr="000835AE" w:rsidRDefault="000835AE" w:rsidP="00C235AC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35AE" w:rsidRPr="000835AE" w:rsidRDefault="000835AE" w:rsidP="00C235AC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 Территориального органа федеральной службы государственной статистики по Республике Коми среднегодовая численность населения </w:t>
      </w:r>
      <w:r w:rsidR="008B64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МОГО «Ухта» </w:t>
      </w:r>
      <w:r w:rsidR="00493FBC">
        <w:rPr>
          <w:rFonts w:ascii="Times New Roman" w:hAnsi="Times New Roman" w:cs="Times New Roman"/>
          <w:color w:val="000000" w:themeColor="text1"/>
          <w:sz w:val="28"/>
          <w:szCs w:val="28"/>
        </w:rPr>
        <w:t>без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</w:t>
      </w:r>
      <w:r w:rsidR="00493FB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итогов Всероссийской переписи населения 2020 г</w:t>
      </w:r>
      <w:r w:rsidR="00F843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3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итоги ВПН 2020) 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составила в 2021 г. - </w:t>
      </w:r>
      <w:r w:rsidR="00493FBC">
        <w:rPr>
          <w:rFonts w:ascii="Times New Roman" w:hAnsi="Times New Roman" w:cs="Times New Roman"/>
          <w:color w:val="000000" w:themeColor="text1"/>
          <w:sz w:val="28"/>
          <w:szCs w:val="28"/>
        </w:rPr>
        <w:t>111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93FBC">
        <w:rPr>
          <w:rFonts w:ascii="Times New Roman" w:hAnsi="Times New Roman" w:cs="Times New Roman"/>
          <w:color w:val="000000" w:themeColor="text1"/>
          <w:sz w:val="28"/>
          <w:szCs w:val="28"/>
        </w:rPr>
        <w:t>44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человек, </w:t>
      </w:r>
      <w:r w:rsidR="00493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г. </w:t>
      </w:r>
      <w:r w:rsidR="00493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итогов ВПН 2020 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- 94,94 тыс. человек. </w:t>
      </w:r>
    </w:p>
    <w:p w:rsidR="000835AE" w:rsidRPr="000835AE" w:rsidRDefault="000835AE" w:rsidP="00F8433C">
      <w:pPr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35AE" w:rsidRPr="000835AE" w:rsidRDefault="000835AE" w:rsidP="00F8433C">
      <w:pPr>
        <w:suppressAutoHyphens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Естественное движение населения МОГО «Ухта»</w:t>
      </w:r>
    </w:p>
    <w:p w:rsidR="000835AE" w:rsidRPr="000835AE" w:rsidRDefault="000835AE" w:rsidP="000835AE">
      <w:pPr>
        <w:suppressAutoHyphens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35AE" w:rsidRPr="000835AE" w:rsidRDefault="000835AE" w:rsidP="000835AE">
      <w:pPr>
        <w:suppressAutoHyphens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5A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D5F54A" wp14:editId="192FE4C3">
            <wp:extent cx="6020474" cy="3309642"/>
            <wp:effectExtent l="0" t="0" r="18415" b="241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835AE" w:rsidRPr="000835AE" w:rsidRDefault="000835AE" w:rsidP="000835AE">
      <w:pPr>
        <w:suppressAutoHyphens/>
        <w:ind w:firstLine="567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0835AE" w:rsidRPr="000835AE" w:rsidRDefault="000835AE" w:rsidP="000835AE">
      <w:pPr>
        <w:suppressAutoHyphens/>
        <w:ind w:firstLine="567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0835AE" w:rsidRPr="000835AE" w:rsidRDefault="000835AE" w:rsidP="008B64D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2023 году, по оценке, среднегодовая численность населения муниципального образования снизится по сравнению с уровнем 2022 года и составит 93,</w:t>
      </w:r>
      <w:r w:rsidR="00F843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34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тыс. человек. Доминирующей причиной сокращения численности населения продолжает являться миграционный отток населения. Значение показателя миграционной убыли в 2023 году ожидается на уровне </w:t>
      </w:r>
      <w:r w:rsidR="00F843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1,20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тыс. человек. </w:t>
      </w:r>
    </w:p>
    <w:p w:rsidR="000835AE" w:rsidRDefault="000835AE" w:rsidP="000835AE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8F386F" w:rsidRDefault="008F386F" w:rsidP="000835AE">
      <w:pPr>
        <w:suppressAutoHyphens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386F" w:rsidRDefault="008F386F" w:rsidP="000835AE">
      <w:pPr>
        <w:suppressAutoHyphens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35AC" w:rsidRDefault="00C235AC" w:rsidP="000835AE">
      <w:pPr>
        <w:suppressAutoHyphens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35AC" w:rsidRDefault="00C235AC" w:rsidP="000835AE">
      <w:pPr>
        <w:suppressAutoHyphens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35AC" w:rsidRDefault="00C235AC" w:rsidP="000835AE">
      <w:pPr>
        <w:suppressAutoHyphens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35AC" w:rsidRDefault="00C235AC" w:rsidP="000835AE">
      <w:pPr>
        <w:suppressAutoHyphens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35AC" w:rsidRDefault="00C235AC" w:rsidP="000835AE">
      <w:pPr>
        <w:suppressAutoHyphens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</w:p>
    <w:p w:rsidR="00C235AC" w:rsidRDefault="00C235AC" w:rsidP="000835AE">
      <w:pPr>
        <w:suppressAutoHyphens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35AE" w:rsidRPr="000835AE" w:rsidRDefault="000835AE" w:rsidP="000835AE">
      <w:pPr>
        <w:suppressAutoHyphens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Миграция населения МОГО «Ухта»</w:t>
      </w:r>
    </w:p>
    <w:p w:rsidR="000835AE" w:rsidRPr="000835AE" w:rsidRDefault="000835AE" w:rsidP="000835AE">
      <w:pPr>
        <w:suppressAutoHyphens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35AE" w:rsidRPr="000835AE" w:rsidRDefault="000835AE" w:rsidP="000835AE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5D67CE40" wp14:editId="72605D0A">
            <wp:extent cx="6198499" cy="2816028"/>
            <wp:effectExtent l="0" t="0" r="12065" b="2286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835AE" w:rsidRPr="000835AE" w:rsidRDefault="000835AE" w:rsidP="000835AE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0835AE" w:rsidRPr="000835AE" w:rsidRDefault="000835AE" w:rsidP="008B64D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среднесрочный период по обоим вариантам прогноза ожидается сохранение тенденции к сокращению численности населения. Продолжатся структурные изменения состава населения. </w:t>
      </w:r>
      <w:proofErr w:type="gramStart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Тенденция старения населения и, соответственно, увеличение доли лиц в возрасте 65 лет и более в общей численности населения не позволят существенно сократить естественную убыль населения, которая прогнозируется к 2026 году на уровне 0,</w:t>
      </w:r>
      <w:r w:rsidR="00F843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45</w:t>
      </w:r>
      <w:r w:rsidR="00C235A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0,</w:t>
      </w:r>
      <w:r w:rsidR="00F843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</w:t>
      </w:r>
      <w:r w:rsidR="00C235A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5 тыс. человек 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(в </w:t>
      </w:r>
      <w:r w:rsidR="008F386F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базовом </w:t>
      </w:r>
      <w:r w:rsidR="008F386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 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консервативном вариантах соответственно).</w:t>
      </w:r>
      <w:proofErr w:type="gramEnd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</w:t>
      </w:r>
      <w:r w:rsidR="008F386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2026 году миграционная убыль </w:t>
      </w:r>
      <w:r w:rsidR="00C235A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прогнозируется на уровне 0,70-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0,</w:t>
      </w:r>
      <w:r w:rsidR="00F843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90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тыс. человек  (в базовом и консервативном вариантах соответственно).</w:t>
      </w:r>
      <w:proofErr w:type="gramEnd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результате среднегодовая численность населения к 2026 году по консервативному варианту составит </w:t>
      </w:r>
      <w:r w:rsidR="00F843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88,89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тыс. человек. По базовому варианту</w:t>
      </w:r>
      <w:r w:rsidR="00F421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результате более благоприятных внешних условий и более высокой эффективности реализуемых социальных мер, среднегодовая численность населения в 2026 году составит 89,</w:t>
      </w:r>
      <w:r w:rsidR="00F843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49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тыс. человек.</w:t>
      </w:r>
    </w:p>
    <w:p w:rsidR="00F8433C" w:rsidRDefault="00F8433C" w:rsidP="000835AE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0835AE" w:rsidRPr="000835AE" w:rsidRDefault="00F421E7" w:rsidP="008B64D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реднемесячная номинальная начисленная заработная плата работников (без субъектов малого предпринимательства) за 202</w:t>
      </w:r>
      <w:r w:rsidR="00F843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год увеличилась на 13,9% по отношению к уровню 202</w:t>
      </w:r>
      <w:r w:rsidR="00F843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года, составив 84,07 тыс. рублей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0835AE" w:rsidRPr="000835AE" w:rsidRDefault="00F421E7" w:rsidP="008B64D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Ф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онд заработной платы, начисленной работникам списочного и </w:t>
      </w:r>
      <w:proofErr w:type="spellStart"/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несписочного</w:t>
      </w:r>
      <w:proofErr w:type="spellEnd"/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состава в организациях (без субъектов малого предпринимательства) по итогам 2022 года </w:t>
      </w:r>
      <w:r w:rsidR="000835AE" w:rsidRPr="008F386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составил 33 11</w:t>
      </w:r>
      <w:r w:rsidR="008D30EF" w:rsidRPr="008F386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8</w:t>
      </w:r>
      <w:r w:rsidR="000835AE" w:rsidRPr="008F386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,01 млн</w:t>
      </w:r>
      <w:r w:rsidR="000835A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 рублей, или 111,6 % к уровню 2021 года.</w:t>
      </w:r>
    </w:p>
    <w:p w:rsidR="000835AE" w:rsidRDefault="000835AE" w:rsidP="008B64D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Положительная динамика значений показателей обусловлена исполнением федерального законодательства об установлении минимального </w:t>
      </w:r>
      <w:proofErr w:type="gramStart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размера оплаты труда</w:t>
      </w:r>
      <w:proofErr w:type="gramEnd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не ниже величины  прожиточного минимума трудоспособного населения, достижением и сохранением достигнутых соотношений заработной платы отдельных категорий работников бюджетной сферы, установленных Указами Президента Российской Федерации, а также индексацией </w:t>
      </w:r>
      <w:r w:rsidR="008F386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заработной платы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C235AC" w:rsidRDefault="00C235AC" w:rsidP="000835AE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C235AC" w:rsidRDefault="00C235AC" w:rsidP="000835AE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C235AC" w:rsidRDefault="00C235AC" w:rsidP="000835AE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C235AC" w:rsidRDefault="00C235AC" w:rsidP="00C235AC">
      <w:pPr>
        <w:autoSpaceDE w:val="0"/>
        <w:autoSpaceDN w:val="0"/>
        <w:adjustRightInd w:val="0"/>
        <w:ind w:firstLine="539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4</w:t>
      </w:r>
    </w:p>
    <w:p w:rsidR="00C235AC" w:rsidRPr="000835AE" w:rsidRDefault="00C235AC" w:rsidP="000835AE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0835AE" w:rsidRPr="000835AE" w:rsidRDefault="000835AE" w:rsidP="008B64D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2023 году по оценке среднемесячн</w:t>
      </w:r>
      <w:r w:rsidR="00FC18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ая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номинальн</w:t>
      </w:r>
      <w:r w:rsidR="00FC18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ая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начисленн</w:t>
      </w:r>
      <w:r w:rsidR="00FC18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ая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заработн</w:t>
      </w:r>
      <w:r w:rsidR="00FC18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ая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плат</w:t>
      </w:r>
      <w:r w:rsidR="00FC18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работников (без субъектов малого предпринимательства) составит </w:t>
      </w:r>
      <w:r w:rsidR="00FC18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112,0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% </w:t>
      </w:r>
      <w:proofErr w:type="gramStart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</w:t>
      </w:r>
      <w:proofErr w:type="gramEnd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уровню 2022 года. Фонд заработной платы, начисленной работникам списочного и </w:t>
      </w:r>
      <w:proofErr w:type="spellStart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несписочного</w:t>
      </w:r>
      <w:proofErr w:type="spellEnd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состава в организациях (без субъектов малого предпринимательства)</w:t>
      </w:r>
      <w:r w:rsidR="008F386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 итогам 2023 года оценивается в </w:t>
      </w:r>
      <w:r w:rsidRPr="008F386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размере </w:t>
      </w:r>
      <w:r w:rsidR="00FC1832" w:rsidRPr="008F386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36 27</w:t>
      </w:r>
      <w:r w:rsidR="00E37C6E" w:rsidRPr="008F386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</w:t>
      </w:r>
      <w:r w:rsidR="00FC1832" w:rsidRPr="008F386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,32</w:t>
      </w:r>
      <w:r w:rsidRPr="008F386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млн.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рублей.</w:t>
      </w:r>
    </w:p>
    <w:p w:rsidR="000835AE" w:rsidRPr="000835AE" w:rsidRDefault="000835AE" w:rsidP="008B64D0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В среднесрочном периоде ожидается продолжение таких мер государственной политики, как:</w:t>
      </w:r>
    </w:p>
    <w:p w:rsidR="000835AE" w:rsidRPr="000835AE" w:rsidRDefault="000835AE" w:rsidP="008B64D0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ежегодное установление 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минимального </w:t>
      </w:r>
      <w:proofErr w:type="gramStart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размера оплаты труда</w:t>
      </w:r>
      <w:proofErr w:type="gramEnd"/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федеральном уровне в размере не ниже величины прожиточного минимума трудоспособного населения;</w:t>
      </w:r>
    </w:p>
    <w:p w:rsidR="000835AE" w:rsidRPr="000835AE" w:rsidRDefault="000835AE" w:rsidP="008B64D0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поддержание достигнутых уровней заработной платы отдельных категорий работников, определенных Указами Президента Российской Федерации, а также проведение ежегодной индексации заработной платы работников организаций бюджетной сферы;</w:t>
      </w:r>
    </w:p>
    <w:p w:rsidR="000835AE" w:rsidRPr="000835AE" w:rsidRDefault="000835AE" w:rsidP="008B64D0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занятости отдельных категорий граждан (женщин, воспитывающих детей, инвалидов, лиц старшего поколения).</w:t>
      </w:r>
    </w:p>
    <w:p w:rsidR="000835AE" w:rsidRPr="000835AE" w:rsidRDefault="000835AE" w:rsidP="008B64D0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С учетом принимаемых мер в среднесрочный период ожидается повышение значений показателей</w:t>
      </w:r>
      <w:r w:rsidR="00FD3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2026 года (в консервативном и базовом вариантах соответственно):</w:t>
      </w:r>
    </w:p>
    <w:p w:rsidR="000835AE" w:rsidRPr="008F386F" w:rsidRDefault="000835AE" w:rsidP="008B64D0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среднемесячная номинальная начисленная </w:t>
      </w:r>
      <w:r w:rsidRPr="008F386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заработная плата работников (без субъектов малого предпринимательства)</w:t>
      </w:r>
      <w:r w:rsidRPr="008F3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составит </w:t>
      </w:r>
      <w:r w:rsidR="00E37C6E" w:rsidRPr="008F386F">
        <w:rPr>
          <w:rFonts w:ascii="Times New Roman" w:hAnsi="Times New Roman" w:cs="Times New Roman"/>
          <w:color w:val="000000" w:themeColor="text1"/>
          <w:sz w:val="28"/>
          <w:szCs w:val="28"/>
        </w:rPr>
        <w:t>106,52</w:t>
      </w:r>
      <w:r w:rsidRPr="008F3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7C6E" w:rsidRPr="008F386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F3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7C6E" w:rsidRPr="008F386F">
        <w:rPr>
          <w:rFonts w:ascii="Times New Roman" w:hAnsi="Times New Roman" w:cs="Times New Roman"/>
          <w:color w:val="000000" w:themeColor="text1"/>
          <w:sz w:val="28"/>
          <w:szCs w:val="28"/>
        </w:rPr>
        <w:t>109,0</w:t>
      </w:r>
      <w:r w:rsidRPr="008F3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0835AE" w:rsidRPr="000835AE" w:rsidRDefault="000835AE" w:rsidP="008B64D0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86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фонд заработной платы, начисленной работникам списочного и </w:t>
      </w:r>
      <w:proofErr w:type="spellStart"/>
      <w:r w:rsidRPr="008F386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несписочного</w:t>
      </w:r>
      <w:proofErr w:type="spellEnd"/>
      <w:r w:rsidRPr="008F386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состава в организациях (без субъектов малого предпринимательства) </w:t>
      </w:r>
      <w:r w:rsidRPr="008F3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 </w:t>
      </w:r>
      <w:r w:rsidR="00E37C6E" w:rsidRPr="008F386F">
        <w:rPr>
          <w:rFonts w:ascii="Times New Roman" w:hAnsi="Times New Roman" w:cs="Times New Roman"/>
          <w:color w:val="000000" w:themeColor="text1"/>
          <w:sz w:val="28"/>
          <w:szCs w:val="28"/>
        </w:rPr>
        <w:t>38 115,71</w:t>
      </w:r>
      <w:r w:rsidR="00C23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7C6E" w:rsidRPr="008F386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23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7C6E" w:rsidRPr="008F386F">
        <w:rPr>
          <w:rFonts w:ascii="Times New Roman" w:hAnsi="Times New Roman" w:cs="Times New Roman"/>
          <w:color w:val="000000" w:themeColor="text1"/>
          <w:sz w:val="28"/>
          <w:szCs w:val="28"/>
        </w:rPr>
        <w:t>39 473,37</w:t>
      </w:r>
      <w:r w:rsidRPr="008F3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рублей.</w:t>
      </w:r>
    </w:p>
    <w:p w:rsidR="000835AE" w:rsidRPr="000835AE" w:rsidRDefault="000835AE" w:rsidP="008B64D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35AE" w:rsidRPr="000835AE" w:rsidRDefault="000835AE" w:rsidP="008B64D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35AE">
        <w:rPr>
          <w:rFonts w:ascii="Times New Roman" w:hAnsi="Times New Roman" w:cs="Times New Roman"/>
          <w:color w:val="auto"/>
          <w:sz w:val="28"/>
          <w:szCs w:val="28"/>
        </w:rPr>
        <w:t xml:space="preserve">Уровень зарегистрированной безработицы на конец 2021 года составил 0,57 %. Улучшение эпидемиологической ситуации в  2021-2022 гг. привело к нормализации обстановки и стабилизации ситуации на рынке труда, уровень зарегистрированной безработицы составил </w:t>
      </w:r>
      <w:r w:rsidR="00FC1832">
        <w:rPr>
          <w:rFonts w:ascii="Times New Roman" w:hAnsi="Times New Roman" w:cs="Times New Roman"/>
          <w:color w:val="auto"/>
          <w:sz w:val="28"/>
          <w:szCs w:val="28"/>
        </w:rPr>
        <w:t xml:space="preserve">в 2022 г. </w:t>
      </w:r>
      <w:r w:rsidRPr="000835AE">
        <w:rPr>
          <w:rFonts w:ascii="Times New Roman" w:hAnsi="Times New Roman" w:cs="Times New Roman"/>
          <w:color w:val="auto"/>
          <w:sz w:val="28"/>
          <w:szCs w:val="28"/>
        </w:rPr>
        <w:t>0,55%.</w:t>
      </w:r>
    </w:p>
    <w:p w:rsidR="000835AE" w:rsidRPr="000835AE" w:rsidRDefault="000835AE" w:rsidP="008B64D0">
      <w:pPr>
        <w:suppressAutoHyphen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35AE">
        <w:rPr>
          <w:rFonts w:ascii="Times New Roman" w:hAnsi="Times New Roman" w:cs="Times New Roman"/>
          <w:color w:val="auto"/>
          <w:sz w:val="28"/>
          <w:szCs w:val="28"/>
        </w:rPr>
        <w:t xml:space="preserve">По данным работодателей организаций муниципального образования сохраняется кадровая потребность в таких сферах деятельности, как: обрабатывающие производства, транспортировка и хранение, образование, деятельность в области здравоохранения, обеспечение безопасности. </w:t>
      </w:r>
    </w:p>
    <w:p w:rsidR="000835AE" w:rsidRPr="000835AE" w:rsidRDefault="000835AE" w:rsidP="008B64D0">
      <w:pPr>
        <w:suppressAutoHyphen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35AE">
        <w:rPr>
          <w:rFonts w:ascii="Times New Roman" w:hAnsi="Times New Roman" w:cs="Times New Roman"/>
          <w:color w:val="auto"/>
          <w:sz w:val="28"/>
          <w:szCs w:val="28"/>
        </w:rPr>
        <w:t xml:space="preserve">В условиях введения внешнего </w:t>
      </w:r>
      <w:proofErr w:type="spellStart"/>
      <w:r w:rsidRPr="000835AE">
        <w:rPr>
          <w:rFonts w:ascii="Times New Roman" w:hAnsi="Times New Roman" w:cs="Times New Roman"/>
          <w:color w:val="auto"/>
          <w:sz w:val="28"/>
          <w:szCs w:val="28"/>
        </w:rPr>
        <w:t>санкционного</w:t>
      </w:r>
      <w:proofErr w:type="spellEnd"/>
      <w:r w:rsidRPr="000835AE">
        <w:rPr>
          <w:rFonts w:ascii="Times New Roman" w:hAnsi="Times New Roman" w:cs="Times New Roman"/>
          <w:color w:val="auto"/>
          <w:sz w:val="28"/>
          <w:szCs w:val="28"/>
        </w:rPr>
        <w:t xml:space="preserve"> давления как в целом по </w:t>
      </w:r>
      <w:r w:rsidR="00FD32A4" w:rsidRPr="000835AE">
        <w:rPr>
          <w:rFonts w:ascii="Times New Roman" w:hAnsi="Times New Roman" w:cs="Times New Roman"/>
          <w:color w:val="auto"/>
          <w:sz w:val="28"/>
          <w:szCs w:val="28"/>
        </w:rPr>
        <w:t>Республике К</w:t>
      </w:r>
      <w:r w:rsidR="00FD32A4">
        <w:rPr>
          <w:rFonts w:ascii="Times New Roman" w:hAnsi="Times New Roman" w:cs="Times New Roman"/>
          <w:color w:val="auto"/>
          <w:sz w:val="28"/>
          <w:szCs w:val="28"/>
        </w:rPr>
        <w:t>оми</w:t>
      </w:r>
      <w:r w:rsidRPr="000835AE">
        <w:rPr>
          <w:rFonts w:ascii="Times New Roman" w:hAnsi="Times New Roman" w:cs="Times New Roman"/>
          <w:color w:val="auto"/>
          <w:sz w:val="28"/>
          <w:szCs w:val="28"/>
        </w:rPr>
        <w:t>, так и в</w:t>
      </w:r>
      <w:r w:rsidR="00FD32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муниципальном образовании</w:t>
      </w:r>
      <w:r w:rsidRPr="000835AE">
        <w:rPr>
          <w:rFonts w:ascii="Times New Roman" w:hAnsi="Times New Roman" w:cs="Times New Roman"/>
          <w:color w:val="auto"/>
          <w:sz w:val="28"/>
          <w:szCs w:val="28"/>
        </w:rPr>
        <w:t xml:space="preserve">, в 2023 году прогнозируется умеренное увеличение численности безработных граждан, зарегистрированных в </w:t>
      </w:r>
      <w:r w:rsidR="009B0382">
        <w:rPr>
          <w:rFonts w:ascii="Times New Roman" w:hAnsi="Times New Roman" w:cs="Times New Roman"/>
          <w:color w:val="auto"/>
          <w:sz w:val="28"/>
          <w:szCs w:val="28"/>
        </w:rPr>
        <w:t>ГУ</w:t>
      </w:r>
      <w:r w:rsidR="009B0382" w:rsidRPr="009B0382">
        <w:rPr>
          <w:rFonts w:ascii="Times New Roman" w:hAnsi="Times New Roman" w:cs="Times New Roman"/>
          <w:color w:val="auto"/>
          <w:sz w:val="28"/>
          <w:szCs w:val="28"/>
        </w:rPr>
        <w:t xml:space="preserve"> Республики Коми </w:t>
      </w:r>
      <w:r w:rsidR="009B0382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9B0382" w:rsidRPr="009B0382">
        <w:rPr>
          <w:rFonts w:ascii="Times New Roman" w:hAnsi="Times New Roman" w:cs="Times New Roman"/>
          <w:color w:val="auto"/>
          <w:sz w:val="28"/>
          <w:szCs w:val="28"/>
        </w:rPr>
        <w:t>Центр занятости населения города Ухты</w:t>
      </w:r>
      <w:r w:rsidR="009B0382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0835AE">
        <w:rPr>
          <w:rFonts w:ascii="Times New Roman" w:hAnsi="Times New Roman" w:cs="Times New Roman"/>
          <w:color w:val="auto"/>
          <w:sz w:val="28"/>
          <w:szCs w:val="28"/>
        </w:rPr>
        <w:t xml:space="preserve">, и к концу года оценивается на уровне 0,6 %. </w:t>
      </w:r>
    </w:p>
    <w:p w:rsidR="000835AE" w:rsidRPr="000835AE" w:rsidRDefault="00C235AC" w:rsidP="008B64D0">
      <w:pPr>
        <w:suppressAutoHyphen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2024-2026 годах на фоне сокращения численности</w:t>
      </w:r>
      <w:r w:rsidR="000835AE" w:rsidRPr="001C368A">
        <w:rPr>
          <w:rFonts w:ascii="Times New Roman" w:hAnsi="Times New Roman" w:cs="Times New Roman"/>
          <w:color w:val="auto"/>
          <w:sz w:val="28"/>
          <w:szCs w:val="28"/>
        </w:rPr>
        <w:t xml:space="preserve"> населения за счет миграционной убыли, и изм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енения его возрастной структуры (значительная </w:t>
      </w:r>
      <w:r w:rsidR="000835AE" w:rsidRPr="001C368A">
        <w:rPr>
          <w:rFonts w:ascii="Times New Roman" w:hAnsi="Times New Roman" w:cs="Times New Roman"/>
          <w:color w:val="auto"/>
          <w:sz w:val="28"/>
          <w:szCs w:val="28"/>
        </w:rPr>
        <w:t>часть покидающих муниципальное образование – люди трудоспособного возраста) т</w:t>
      </w:r>
      <w:r>
        <w:rPr>
          <w:rFonts w:ascii="Times New Roman" w:hAnsi="Times New Roman" w:cs="Times New Roman"/>
          <w:color w:val="auto"/>
          <w:sz w:val="28"/>
          <w:szCs w:val="28"/>
        </w:rPr>
        <w:t>енденция сокращения численности</w:t>
      </w:r>
      <w:r w:rsidR="000835AE" w:rsidRPr="001C368A">
        <w:rPr>
          <w:rFonts w:ascii="Times New Roman" w:hAnsi="Times New Roman" w:cs="Times New Roman"/>
          <w:color w:val="auto"/>
          <w:sz w:val="28"/>
          <w:szCs w:val="28"/>
        </w:rPr>
        <w:t xml:space="preserve"> труд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оспособного населения и занятых в  экономике </w:t>
      </w:r>
      <w:r w:rsidR="000835AE" w:rsidRPr="001C368A">
        <w:rPr>
          <w:rFonts w:ascii="Times New Roman" w:hAnsi="Times New Roman" w:cs="Times New Roman"/>
          <w:color w:val="auto"/>
          <w:sz w:val="28"/>
          <w:szCs w:val="28"/>
        </w:rPr>
        <w:t xml:space="preserve">сохранится. </w:t>
      </w:r>
      <w:proofErr w:type="gramStart"/>
      <w:r w:rsidR="000835AE" w:rsidRPr="001C368A">
        <w:rPr>
          <w:rFonts w:ascii="Times New Roman" w:hAnsi="Times New Roman" w:cs="Times New Roman"/>
          <w:color w:val="auto"/>
          <w:sz w:val="28"/>
          <w:szCs w:val="28"/>
        </w:rPr>
        <w:t>К 2026 году уровень зарегистрированной безработицы составит 0,55-0,60 %</w:t>
      </w:r>
      <w:r w:rsidR="001C368A" w:rsidRPr="001C36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C368A" w:rsidRPr="001C368A">
        <w:rPr>
          <w:rFonts w:ascii="Times New Roman" w:hAnsi="Times New Roman" w:cs="Times New Roman"/>
          <w:color w:val="000000" w:themeColor="text1"/>
          <w:sz w:val="28"/>
          <w:szCs w:val="28"/>
        </w:rPr>
        <w:t>(в базовом и консервативном</w:t>
      </w:r>
      <w:r w:rsidR="001C368A"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вариантах соответственно)</w:t>
      </w:r>
      <w:r w:rsidR="000835AE" w:rsidRPr="001C368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835AE" w:rsidRPr="000835A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End"/>
    </w:p>
    <w:p w:rsidR="000835AE" w:rsidRDefault="000835AE" w:rsidP="000835AE">
      <w:pPr>
        <w:suppressAutoHyphens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35AC" w:rsidRDefault="00C235AC" w:rsidP="000835AE">
      <w:pPr>
        <w:suppressAutoHyphens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35AC" w:rsidRDefault="00C235AC" w:rsidP="00C235AC">
      <w:pPr>
        <w:suppressAutoHyphens/>
        <w:ind w:firstLine="53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</w:t>
      </w:r>
    </w:p>
    <w:p w:rsidR="00C235AC" w:rsidRPr="000835AE" w:rsidRDefault="00C235AC" w:rsidP="000835AE">
      <w:pPr>
        <w:suppressAutoHyphens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35AE" w:rsidRPr="000835AE" w:rsidRDefault="00FC1832" w:rsidP="008B64D0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835AE"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борот организаций включает стоимость отгруженных товаров собственного производства, выполненных работ и услуг собственными силами, а также выручка от продажи приобретенных на стороне товаров (без налога на добавленную стоимость, акцизов и других аналогичных обязательных платежей).</w:t>
      </w:r>
    </w:p>
    <w:p w:rsidR="000835AE" w:rsidRDefault="000835AE" w:rsidP="008B64D0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По статистическим данным 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оборот организаций за 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2022 год увеличился                                 </w:t>
      </w:r>
      <w:r w:rsidR="00C235A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 10,34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% по сравнению с 2021 годом. Ожидается, что в 2023 году </w:t>
      </w:r>
      <w:r w:rsidR="00FC18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произойдет </w:t>
      </w:r>
      <w:r w:rsidR="00FC1832" w:rsidRPr="00FC18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снижение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оборот</w:t>
      </w:r>
      <w:r w:rsidR="00FC18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организаций </w:t>
      </w:r>
      <w:r w:rsidR="00FC1832" w:rsidRPr="001C368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 </w:t>
      </w:r>
      <w:r w:rsidR="00E37C6E" w:rsidRPr="001C368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</w:t>
      </w:r>
      <w:r w:rsidR="00C235A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,5</w:t>
      </w:r>
      <w:r w:rsidR="00FC1832" w:rsidRPr="001C368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% по отношению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 </w:t>
      </w:r>
      <w:r w:rsidR="00FC18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022 год</w:t>
      </w:r>
      <w:r w:rsidR="00FC18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FC1832" w:rsidRDefault="00FC1832" w:rsidP="008B64D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Восстановление экономики преимущественно будет зависеть от степени адаптации хозяйствующих субъектов к новым внешнеэкономическим условиям, в том числе, скорости переориентации поставок в дружественные и нейтральные страны и стимулирования внутреннего спроса.</w:t>
      </w:r>
    </w:p>
    <w:p w:rsidR="000835AE" w:rsidRPr="000835AE" w:rsidRDefault="000835AE" w:rsidP="008B64D0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К 2026 году оборот органи</w:t>
      </w:r>
      <w:r w:rsidR="00C23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заций прогнозируется на уровне </w:t>
      </w:r>
      <w:r w:rsidR="005A1D97">
        <w:rPr>
          <w:rFonts w:ascii="Times New Roman" w:hAnsi="Times New Roman" w:cs="Times New Roman"/>
          <w:color w:val="000000" w:themeColor="text1"/>
          <w:sz w:val="28"/>
          <w:szCs w:val="28"/>
        </w:rPr>
        <w:t>361 990,28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5A1D97">
        <w:rPr>
          <w:rFonts w:ascii="Times New Roman" w:hAnsi="Times New Roman" w:cs="Times New Roman"/>
          <w:color w:val="000000" w:themeColor="text1"/>
          <w:sz w:val="28"/>
          <w:szCs w:val="28"/>
        </w:rPr>
        <w:t>397 398,01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</w:t>
      </w:r>
      <w:r w:rsidR="00FD3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2A4"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(в консервативном и базовом вариантах соответственно)</w:t>
      </w:r>
      <w:r w:rsidRPr="000835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0835AE" w:rsidRPr="000835AE" w:rsidRDefault="000835AE" w:rsidP="008B64D0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35AE" w:rsidRPr="000835AE" w:rsidRDefault="000835AE" w:rsidP="008B64D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2023 году </w:t>
      </w:r>
      <w:r w:rsidR="001C368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 территории муниципального образования 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реализуются инвестиционные проекты:</w:t>
      </w:r>
    </w:p>
    <w:p w:rsidR="000835AE" w:rsidRPr="000835AE" w:rsidRDefault="000835AE" w:rsidP="008B64D0">
      <w:pPr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«Разработка Ярегского нефтяного месторождения» - ООО «ЛУКОЙЛ-Коми». </w:t>
      </w:r>
      <w:r w:rsidR="00C235A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Сроки реализации проекта 2005-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2051 гг.</w:t>
      </w:r>
    </w:p>
    <w:p w:rsidR="000835AE" w:rsidRPr="000835AE" w:rsidRDefault="000835AE" w:rsidP="008B64D0">
      <w:pPr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Строительство станции водоочистки с созданием системы управления комплексом</w:t>
      </w:r>
      <w:r w:rsidR="00C235A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водоснабжения в «Пожня-Ель» г.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Ухта мощностью 1083 </w:t>
      </w:r>
      <w:proofErr w:type="spellStart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куб</w:t>
      </w:r>
      <w:proofErr w:type="gramStart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.м</w:t>
      </w:r>
      <w:proofErr w:type="spellEnd"/>
      <w:proofErr w:type="gramEnd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/час. Ввод объекта планируется в 2024 году.</w:t>
      </w:r>
    </w:p>
    <w:p w:rsidR="000835AE" w:rsidRPr="000835AE" w:rsidRDefault="000835AE" w:rsidP="008B64D0">
      <w:pPr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Строительство объекта «Физкультурно-оздоровит</w:t>
      </w:r>
      <w:r w:rsidR="00C235A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ельный комплекс единоборств, г.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Ухта». Ввод объекта планируется в 2023 году.</w:t>
      </w:r>
    </w:p>
    <w:p w:rsidR="000835AE" w:rsidRPr="000835AE" w:rsidRDefault="000835AE" w:rsidP="008B64D0">
      <w:pPr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Строительство фельдшерско-акушерского пункта в пст Кэмдин. </w:t>
      </w:r>
      <w:r w:rsidR="005D348E"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Ввод объекта в 2023 году.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0835AE" w:rsidRPr="000835AE" w:rsidRDefault="000835AE" w:rsidP="008B64D0">
      <w:pPr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«Проектирование по </w:t>
      </w:r>
      <w:proofErr w:type="spellStart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техперевооружению</w:t>
      </w:r>
      <w:proofErr w:type="spellEnd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участка БОС </w:t>
      </w:r>
      <w:r w:rsid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3 этап» - </w:t>
      </w:r>
      <w:r w:rsidR="00C235A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                   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ООО «ЛУКОЙЛ-</w:t>
      </w:r>
      <w:proofErr w:type="spellStart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Ухтанефтепереработка</w:t>
      </w:r>
      <w:proofErr w:type="spellEnd"/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». С</w:t>
      </w:r>
      <w:r w:rsidR="00C235A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роки реализации проекта: 2022-</w:t>
      </w: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2023 гг.</w:t>
      </w:r>
    </w:p>
    <w:p w:rsidR="005D348E" w:rsidRDefault="005D348E" w:rsidP="008B64D0">
      <w:pPr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Инвестиционные проекты в сфере водоснабжения населения </w:t>
      </w:r>
      <w:r w:rsidR="000835AE" w:rsidRP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- </w:t>
      </w:r>
      <w:r w:rsidR="00C235A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                         </w:t>
      </w:r>
      <w:r w:rsidR="000835AE" w:rsidRP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МУП «Ухтаводоканал». Сроки реализации проект</w:t>
      </w:r>
      <w:r w:rsidRP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ов</w:t>
      </w:r>
      <w:r w:rsidR="00C235A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2015-</w:t>
      </w:r>
      <w:r w:rsidR="000835AE" w:rsidRP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2024 гг.</w:t>
      </w:r>
    </w:p>
    <w:p w:rsidR="000835AE" w:rsidRPr="005D348E" w:rsidRDefault="00E37C6E" w:rsidP="008B64D0">
      <w:pPr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>Реализуются п</w:t>
      </w:r>
      <w:r w:rsid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роекты в рамках </w:t>
      </w:r>
      <w:r w:rsidR="000835AE" w:rsidRP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инвестиционн</w:t>
      </w:r>
      <w:r w:rsid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ой</w:t>
      </w:r>
      <w:r w:rsidR="000835AE" w:rsidRP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программ</w:t>
      </w:r>
      <w:r w:rsid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ы</w:t>
      </w:r>
      <w:r w:rsidR="000835AE" w:rsidRP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Филиала Коми» ПАО «Т Плюс» в сфере теплоснабжения. Сроки реализации проект</w:t>
      </w:r>
      <w:r w:rsid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ов </w:t>
      </w:r>
      <w:r w:rsidR="00C235A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2021-</w:t>
      </w:r>
      <w:r w:rsidR="000835AE" w:rsidRP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2023 гг.</w:t>
      </w:r>
    </w:p>
    <w:p w:rsidR="000835AE" w:rsidRPr="000835AE" w:rsidRDefault="000835AE" w:rsidP="008B64D0">
      <w:pPr>
        <w:tabs>
          <w:tab w:val="left" w:pos="426"/>
        </w:tabs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Планируется:</w:t>
      </w:r>
    </w:p>
    <w:p w:rsidR="005D348E" w:rsidRDefault="000835AE" w:rsidP="008B64D0">
      <w:pPr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Строительство объездной дороги от проспекта А.И. Зерюнова до автодороги Сыктывкар-Ухта. </w:t>
      </w:r>
    </w:p>
    <w:p w:rsidR="005D348E" w:rsidRDefault="000835AE" w:rsidP="008B64D0">
      <w:pPr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Строительство уличной дорожной сети индивидуальной </w:t>
      </w:r>
      <w:r w:rsid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жилой застройки </w:t>
      </w:r>
      <w:r w:rsidR="00C235A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          </w:t>
      </w:r>
      <w:r w:rsid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пст Веселый Кут.</w:t>
      </w:r>
    </w:p>
    <w:p w:rsidR="005D348E" w:rsidRDefault="000835AE" w:rsidP="008B64D0">
      <w:pPr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Строительство средней</w:t>
      </w:r>
      <w:r w:rsidR="008B64D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общеобразовательной школы в г.</w:t>
      </w:r>
      <w:r w:rsidRP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Ухт</w:t>
      </w:r>
      <w:r w:rsidR="008B64D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P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0835AE" w:rsidRPr="000835AE" w:rsidRDefault="000835AE" w:rsidP="008B64D0">
      <w:pPr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Благоустройство набережной Нефтяников </w:t>
      </w:r>
      <w:r w:rsidR="008B64D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г.Ухты</w:t>
      </w:r>
      <w:r w:rsidR="00C235A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(вдоль левого берега р.</w:t>
      </w:r>
      <w:r w:rsidRP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Чибью). </w:t>
      </w:r>
    </w:p>
    <w:p w:rsidR="005D348E" w:rsidRDefault="000835AE" w:rsidP="008B64D0">
      <w:pPr>
        <w:numPr>
          <w:ilvl w:val="0"/>
          <w:numId w:val="11"/>
        </w:numPr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5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Благоустройство территории Ухтинского парка культуры и отдыха. </w:t>
      </w:r>
    </w:p>
    <w:p w:rsidR="00C235AC" w:rsidRDefault="00C235AC" w:rsidP="008B64D0">
      <w:pPr>
        <w:tabs>
          <w:tab w:val="left" w:pos="426"/>
        </w:tabs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8B64D0" w:rsidRDefault="000835AE" w:rsidP="008B64D0">
      <w:pPr>
        <w:tabs>
          <w:tab w:val="left" w:pos="426"/>
        </w:tabs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среднесрочном периоде инвестиционная деятельность организаций будет зависеть как от общеэкономической ситуации в стране, так и </w:t>
      </w:r>
      <w:proofErr w:type="gramStart"/>
      <w:r w:rsidRP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</w:t>
      </w:r>
      <w:proofErr w:type="gramEnd"/>
      <w:r w:rsidRP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проводимых в </w:t>
      </w:r>
    </w:p>
    <w:p w:rsidR="008B64D0" w:rsidRDefault="008B64D0">
      <w:pPr>
        <w:spacing w:after="200" w:line="276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 w:type="page"/>
      </w:r>
    </w:p>
    <w:p w:rsidR="008B64D0" w:rsidRDefault="008B64D0" w:rsidP="008B64D0">
      <w:pPr>
        <w:tabs>
          <w:tab w:val="left" w:pos="426"/>
        </w:tabs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6</w:t>
      </w:r>
    </w:p>
    <w:p w:rsidR="008B64D0" w:rsidRDefault="008B64D0" w:rsidP="008B64D0">
      <w:pPr>
        <w:tabs>
          <w:tab w:val="left" w:pos="426"/>
        </w:tabs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0835AE" w:rsidRPr="005D348E" w:rsidRDefault="000835AE" w:rsidP="008B64D0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348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республике и муниципальном образовании мероприятий по формированию благоприятных условий для ведения бизнеса и улучшению состояния инвестиционного климата</w:t>
      </w:r>
      <w:r w:rsidRPr="005D34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835AE" w:rsidRPr="000835AE" w:rsidRDefault="000835AE" w:rsidP="008B64D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5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Росту инвестиционной активности будут способствовать снижение ставок по кредитам, повышение финансовой устойчивости </w:t>
      </w:r>
      <w:r w:rsidR="005D34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организаций</w:t>
      </w:r>
      <w:r w:rsidRPr="000835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экономической уверенности производителей в условиях ожидания восстановления спроса на продукцию. </w:t>
      </w:r>
    </w:p>
    <w:p w:rsidR="000835AE" w:rsidRPr="000835AE" w:rsidRDefault="000835AE" w:rsidP="008B64D0">
      <w:pPr>
        <w:autoSpaceDE w:val="0"/>
        <w:autoSpaceDN w:val="0"/>
        <w:adjustRightInd w:val="0"/>
        <w:ind w:firstLine="709"/>
        <w:jc w:val="both"/>
        <w:rPr>
          <w:rStyle w:val="ae"/>
          <w:rFonts w:eastAsia="Arial Unicode MS"/>
          <w:b w:val="0"/>
          <w:color w:val="000000" w:themeColor="text1"/>
          <w:sz w:val="28"/>
          <w:szCs w:val="28"/>
        </w:rPr>
      </w:pPr>
      <w:r w:rsidRPr="000835AE">
        <w:rPr>
          <w:rStyle w:val="ae"/>
          <w:rFonts w:eastAsia="Arial Unicode MS"/>
          <w:b w:val="0"/>
          <w:color w:val="000000" w:themeColor="text1"/>
          <w:sz w:val="28"/>
          <w:szCs w:val="28"/>
        </w:rPr>
        <w:t xml:space="preserve">Ожидаемый в 2026 году объем инвестиций составит по консервативному варианту прогноза </w:t>
      </w:r>
      <w:r w:rsidR="005A1D97">
        <w:rPr>
          <w:rStyle w:val="ae"/>
          <w:rFonts w:eastAsia="Arial Unicode MS"/>
          <w:b w:val="0"/>
          <w:color w:val="000000" w:themeColor="text1"/>
          <w:sz w:val="28"/>
          <w:szCs w:val="28"/>
        </w:rPr>
        <w:t>17 248,22</w:t>
      </w:r>
      <w:r w:rsidRPr="000835AE">
        <w:rPr>
          <w:rStyle w:val="ae"/>
          <w:rFonts w:eastAsia="Arial Unicode MS"/>
          <w:b w:val="0"/>
          <w:color w:val="000000" w:themeColor="text1"/>
          <w:sz w:val="28"/>
          <w:szCs w:val="28"/>
        </w:rPr>
        <w:t xml:space="preserve"> млн. рублей, по базовому варианту - </w:t>
      </w:r>
      <w:r w:rsidR="005A1D97">
        <w:rPr>
          <w:rStyle w:val="ae"/>
          <w:rFonts w:eastAsia="Arial Unicode MS"/>
          <w:b w:val="0"/>
          <w:color w:val="000000" w:themeColor="text1"/>
          <w:sz w:val="28"/>
          <w:szCs w:val="28"/>
        </w:rPr>
        <w:t>19 756,57</w:t>
      </w:r>
      <w:r w:rsidRPr="000835AE">
        <w:rPr>
          <w:rStyle w:val="ae"/>
          <w:rFonts w:eastAsia="Arial Unicode MS"/>
          <w:b w:val="0"/>
          <w:color w:val="000000" w:themeColor="text1"/>
          <w:sz w:val="28"/>
          <w:szCs w:val="28"/>
        </w:rPr>
        <w:t xml:space="preserve"> млн. рублей.</w:t>
      </w:r>
    </w:p>
    <w:p w:rsidR="000835AE" w:rsidRPr="000835AE" w:rsidRDefault="000835AE" w:rsidP="000835AE">
      <w:pPr>
        <w:pStyle w:val="a4"/>
        <w:rPr>
          <w:b w:val="0"/>
          <w:color w:val="000000" w:themeColor="text1"/>
        </w:rPr>
      </w:pPr>
      <w:r w:rsidRPr="000835AE">
        <w:rPr>
          <w:b w:val="0"/>
          <w:color w:val="000000" w:themeColor="text1"/>
        </w:rPr>
        <w:t>____________________</w:t>
      </w:r>
    </w:p>
    <w:sectPr w:rsidR="000835AE" w:rsidRPr="000835AE" w:rsidSect="00C235AC">
      <w:pgSz w:w="11905" w:h="16837"/>
      <w:pgMar w:top="851" w:right="565" w:bottom="426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EB1"/>
    <w:multiLevelType w:val="hybridMultilevel"/>
    <w:tmpl w:val="1B0A93A8"/>
    <w:lvl w:ilvl="0" w:tplc="C22203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5A0965"/>
    <w:multiLevelType w:val="hybridMultilevel"/>
    <w:tmpl w:val="11789FDA"/>
    <w:lvl w:ilvl="0" w:tplc="FEEEA002">
      <w:start w:val="1"/>
      <w:numFmt w:val="decimal"/>
      <w:lvlText w:val="%1"/>
      <w:lvlJc w:val="center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EA1285"/>
    <w:multiLevelType w:val="hybridMultilevel"/>
    <w:tmpl w:val="725E19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E8C1B96"/>
    <w:multiLevelType w:val="hybridMultilevel"/>
    <w:tmpl w:val="7B98098E"/>
    <w:lvl w:ilvl="0" w:tplc="75CA4924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1FD7DE6"/>
    <w:multiLevelType w:val="multilevel"/>
    <w:tmpl w:val="4A12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3DF05C12"/>
    <w:multiLevelType w:val="hybridMultilevel"/>
    <w:tmpl w:val="BADE50A6"/>
    <w:lvl w:ilvl="0" w:tplc="B176A95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F305D"/>
    <w:multiLevelType w:val="hybridMultilevel"/>
    <w:tmpl w:val="65E8EA36"/>
    <w:lvl w:ilvl="0" w:tplc="1A08225C">
      <w:start w:val="1"/>
      <w:numFmt w:val="bullet"/>
      <w:lvlText w:val=""/>
      <w:lvlJc w:val="left"/>
      <w:pPr>
        <w:ind w:left="560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B0F37"/>
    <w:multiLevelType w:val="hybridMultilevel"/>
    <w:tmpl w:val="D71E2A76"/>
    <w:lvl w:ilvl="0" w:tplc="C22203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D702C98"/>
    <w:multiLevelType w:val="hybridMultilevel"/>
    <w:tmpl w:val="F92822E8"/>
    <w:lvl w:ilvl="0" w:tplc="FEEEA00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33"/>
    <w:rsid w:val="000054F0"/>
    <w:rsid w:val="00023571"/>
    <w:rsid w:val="0003320E"/>
    <w:rsid w:val="00044544"/>
    <w:rsid w:val="000445A7"/>
    <w:rsid w:val="00053B96"/>
    <w:rsid w:val="0005744C"/>
    <w:rsid w:val="0006610B"/>
    <w:rsid w:val="0007111F"/>
    <w:rsid w:val="00076DBD"/>
    <w:rsid w:val="000824D6"/>
    <w:rsid w:val="000835AE"/>
    <w:rsid w:val="00083848"/>
    <w:rsid w:val="000A3126"/>
    <w:rsid w:val="000A5E6C"/>
    <w:rsid w:val="000B43EE"/>
    <w:rsid w:val="000C0FC8"/>
    <w:rsid w:val="000C7460"/>
    <w:rsid w:val="000D341C"/>
    <w:rsid w:val="000F0915"/>
    <w:rsid w:val="0010058D"/>
    <w:rsid w:val="0010644E"/>
    <w:rsid w:val="00107A55"/>
    <w:rsid w:val="00110E7D"/>
    <w:rsid w:val="001355F5"/>
    <w:rsid w:val="00145F43"/>
    <w:rsid w:val="00153029"/>
    <w:rsid w:val="00154F5D"/>
    <w:rsid w:val="001813A1"/>
    <w:rsid w:val="00194F1E"/>
    <w:rsid w:val="001A0A53"/>
    <w:rsid w:val="001A66E2"/>
    <w:rsid w:val="001C368A"/>
    <w:rsid w:val="001D2D88"/>
    <w:rsid w:val="001D5EAB"/>
    <w:rsid w:val="001E0C8A"/>
    <w:rsid w:val="001E11F7"/>
    <w:rsid w:val="001E4EB1"/>
    <w:rsid w:val="00220E29"/>
    <w:rsid w:val="00224105"/>
    <w:rsid w:val="00231936"/>
    <w:rsid w:val="002534A1"/>
    <w:rsid w:val="002559D4"/>
    <w:rsid w:val="00267830"/>
    <w:rsid w:val="00267CFD"/>
    <w:rsid w:val="00292B1C"/>
    <w:rsid w:val="002B2F77"/>
    <w:rsid w:val="002E605B"/>
    <w:rsid w:val="002F0BB8"/>
    <w:rsid w:val="00322376"/>
    <w:rsid w:val="00331FB0"/>
    <w:rsid w:val="00332387"/>
    <w:rsid w:val="00335270"/>
    <w:rsid w:val="00342468"/>
    <w:rsid w:val="00352127"/>
    <w:rsid w:val="00357DC4"/>
    <w:rsid w:val="003679B5"/>
    <w:rsid w:val="0037190F"/>
    <w:rsid w:val="0038260C"/>
    <w:rsid w:val="00387951"/>
    <w:rsid w:val="003971C1"/>
    <w:rsid w:val="003A16DC"/>
    <w:rsid w:val="003C05CA"/>
    <w:rsid w:val="003C4B33"/>
    <w:rsid w:val="003D678E"/>
    <w:rsid w:val="003D7266"/>
    <w:rsid w:val="00404C85"/>
    <w:rsid w:val="004119B2"/>
    <w:rsid w:val="00415AB6"/>
    <w:rsid w:val="00430731"/>
    <w:rsid w:val="004457F9"/>
    <w:rsid w:val="00451161"/>
    <w:rsid w:val="00461EBC"/>
    <w:rsid w:val="00463047"/>
    <w:rsid w:val="00493FBC"/>
    <w:rsid w:val="004A5028"/>
    <w:rsid w:val="004A65E5"/>
    <w:rsid w:val="004D757F"/>
    <w:rsid w:val="005200D0"/>
    <w:rsid w:val="00526877"/>
    <w:rsid w:val="00527C97"/>
    <w:rsid w:val="005372D6"/>
    <w:rsid w:val="00544738"/>
    <w:rsid w:val="00555CAC"/>
    <w:rsid w:val="00581E06"/>
    <w:rsid w:val="005A13DE"/>
    <w:rsid w:val="005A1D97"/>
    <w:rsid w:val="005B7400"/>
    <w:rsid w:val="005C1994"/>
    <w:rsid w:val="005D348E"/>
    <w:rsid w:val="005D7F75"/>
    <w:rsid w:val="005E1876"/>
    <w:rsid w:val="005E6CBD"/>
    <w:rsid w:val="00604859"/>
    <w:rsid w:val="00611C8F"/>
    <w:rsid w:val="00644826"/>
    <w:rsid w:val="00646293"/>
    <w:rsid w:val="006613EC"/>
    <w:rsid w:val="00663F4D"/>
    <w:rsid w:val="0069290D"/>
    <w:rsid w:val="006A1B2C"/>
    <w:rsid w:val="006A7C7C"/>
    <w:rsid w:val="006B4E8D"/>
    <w:rsid w:val="006C0764"/>
    <w:rsid w:val="006E3510"/>
    <w:rsid w:val="006E6B17"/>
    <w:rsid w:val="006F66AA"/>
    <w:rsid w:val="00704912"/>
    <w:rsid w:val="00725C9D"/>
    <w:rsid w:val="00740BD4"/>
    <w:rsid w:val="00740FEA"/>
    <w:rsid w:val="007478AA"/>
    <w:rsid w:val="00763600"/>
    <w:rsid w:val="00791F40"/>
    <w:rsid w:val="0079796C"/>
    <w:rsid w:val="007B3F10"/>
    <w:rsid w:val="007C21D8"/>
    <w:rsid w:val="007C4EF9"/>
    <w:rsid w:val="007E59C0"/>
    <w:rsid w:val="007F13A5"/>
    <w:rsid w:val="007F6E04"/>
    <w:rsid w:val="00833D8E"/>
    <w:rsid w:val="008343DD"/>
    <w:rsid w:val="008467CA"/>
    <w:rsid w:val="00852BA0"/>
    <w:rsid w:val="008572DB"/>
    <w:rsid w:val="008711DC"/>
    <w:rsid w:val="00873645"/>
    <w:rsid w:val="0089358B"/>
    <w:rsid w:val="008A7488"/>
    <w:rsid w:val="008B64D0"/>
    <w:rsid w:val="008C52D7"/>
    <w:rsid w:val="008D1DBB"/>
    <w:rsid w:val="008D30EF"/>
    <w:rsid w:val="008D35E3"/>
    <w:rsid w:val="008D3FA3"/>
    <w:rsid w:val="008D402C"/>
    <w:rsid w:val="008F386F"/>
    <w:rsid w:val="0090026B"/>
    <w:rsid w:val="0090074E"/>
    <w:rsid w:val="00905071"/>
    <w:rsid w:val="00912C88"/>
    <w:rsid w:val="00914067"/>
    <w:rsid w:val="009211A5"/>
    <w:rsid w:val="00931B03"/>
    <w:rsid w:val="00932E1B"/>
    <w:rsid w:val="00935F50"/>
    <w:rsid w:val="0094235D"/>
    <w:rsid w:val="00944A6F"/>
    <w:rsid w:val="0094501A"/>
    <w:rsid w:val="00951EA9"/>
    <w:rsid w:val="00955381"/>
    <w:rsid w:val="00962DE2"/>
    <w:rsid w:val="009737C5"/>
    <w:rsid w:val="009833D0"/>
    <w:rsid w:val="00983B2D"/>
    <w:rsid w:val="009844CC"/>
    <w:rsid w:val="00994D05"/>
    <w:rsid w:val="009A19F6"/>
    <w:rsid w:val="009B0382"/>
    <w:rsid w:val="009C2099"/>
    <w:rsid w:val="009C7905"/>
    <w:rsid w:val="009D65D4"/>
    <w:rsid w:val="009F66D2"/>
    <w:rsid w:val="00A036D9"/>
    <w:rsid w:val="00A05964"/>
    <w:rsid w:val="00A454AF"/>
    <w:rsid w:val="00A469D8"/>
    <w:rsid w:val="00A60F43"/>
    <w:rsid w:val="00A65237"/>
    <w:rsid w:val="00A75D9B"/>
    <w:rsid w:val="00AB7B27"/>
    <w:rsid w:val="00AC0DBB"/>
    <w:rsid w:val="00AC42D6"/>
    <w:rsid w:val="00AD122F"/>
    <w:rsid w:val="00AE1990"/>
    <w:rsid w:val="00AF021D"/>
    <w:rsid w:val="00AF46F3"/>
    <w:rsid w:val="00B4583B"/>
    <w:rsid w:val="00B60847"/>
    <w:rsid w:val="00B639DD"/>
    <w:rsid w:val="00B71E50"/>
    <w:rsid w:val="00B83359"/>
    <w:rsid w:val="00B877F5"/>
    <w:rsid w:val="00B9371F"/>
    <w:rsid w:val="00B97B77"/>
    <w:rsid w:val="00BB0775"/>
    <w:rsid w:val="00BB32F4"/>
    <w:rsid w:val="00BC5347"/>
    <w:rsid w:val="00BD2043"/>
    <w:rsid w:val="00BD2C52"/>
    <w:rsid w:val="00BF3143"/>
    <w:rsid w:val="00BF729D"/>
    <w:rsid w:val="00C028BD"/>
    <w:rsid w:val="00C15B6E"/>
    <w:rsid w:val="00C235AC"/>
    <w:rsid w:val="00C25CB8"/>
    <w:rsid w:val="00C552FC"/>
    <w:rsid w:val="00C67975"/>
    <w:rsid w:val="00CA22B0"/>
    <w:rsid w:val="00CB4439"/>
    <w:rsid w:val="00CB5434"/>
    <w:rsid w:val="00CC16AA"/>
    <w:rsid w:val="00CC2056"/>
    <w:rsid w:val="00CC5194"/>
    <w:rsid w:val="00CC5F82"/>
    <w:rsid w:val="00CC6862"/>
    <w:rsid w:val="00CE5238"/>
    <w:rsid w:val="00CF07CA"/>
    <w:rsid w:val="00CF2FB8"/>
    <w:rsid w:val="00D101DC"/>
    <w:rsid w:val="00D11E99"/>
    <w:rsid w:val="00D161D8"/>
    <w:rsid w:val="00D25324"/>
    <w:rsid w:val="00D411FD"/>
    <w:rsid w:val="00D42B42"/>
    <w:rsid w:val="00D53CCD"/>
    <w:rsid w:val="00D56A58"/>
    <w:rsid w:val="00D60F36"/>
    <w:rsid w:val="00D80DD7"/>
    <w:rsid w:val="00D95752"/>
    <w:rsid w:val="00DA6C9E"/>
    <w:rsid w:val="00DC07ED"/>
    <w:rsid w:val="00DF01F2"/>
    <w:rsid w:val="00E13A48"/>
    <w:rsid w:val="00E23972"/>
    <w:rsid w:val="00E37C6E"/>
    <w:rsid w:val="00E548AD"/>
    <w:rsid w:val="00E869E2"/>
    <w:rsid w:val="00EB0248"/>
    <w:rsid w:val="00EC2E00"/>
    <w:rsid w:val="00EC5741"/>
    <w:rsid w:val="00ED695E"/>
    <w:rsid w:val="00EE6521"/>
    <w:rsid w:val="00F323EE"/>
    <w:rsid w:val="00F3386A"/>
    <w:rsid w:val="00F421E7"/>
    <w:rsid w:val="00F47878"/>
    <w:rsid w:val="00F65D4B"/>
    <w:rsid w:val="00F749B3"/>
    <w:rsid w:val="00F75368"/>
    <w:rsid w:val="00F8433C"/>
    <w:rsid w:val="00F85E95"/>
    <w:rsid w:val="00F97A29"/>
    <w:rsid w:val="00FA6D73"/>
    <w:rsid w:val="00FB014F"/>
    <w:rsid w:val="00FB74C1"/>
    <w:rsid w:val="00FC1832"/>
    <w:rsid w:val="00FD31BC"/>
    <w:rsid w:val="00FD32A4"/>
    <w:rsid w:val="00FE7785"/>
    <w:rsid w:val="00FF6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235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7B27"/>
    <w:pPr>
      <w:keepNext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95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4235D"/>
    <w:rPr>
      <w:i/>
      <w:iCs/>
    </w:rPr>
  </w:style>
  <w:style w:type="paragraph" w:styleId="a4">
    <w:name w:val="caption"/>
    <w:basedOn w:val="a"/>
    <w:uiPriority w:val="99"/>
    <w:semiHidden/>
    <w:unhideWhenUsed/>
    <w:qFormat/>
    <w:rsid w:val="0094235D"/>
    <w:pPr>
      <w:widowControl w:val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ConsPlusNormal">
    <w:name w:val="ConsPlusNormal"/>
    <w:rsid w:val="00942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B7B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1"/>
    <w:rsid w:val="00AB7B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AB7B27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6">
    <w:name w:val="Body Text"/>
    <w:basedOn w:val="a"/>
    <w:link w:val="a7"/>
    <w:rsid w:val="00AB7B27"/>
    <w:pPr>
      <w:spacing w:line="360" w:lineRule="auto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7">
    <w:name w:val="Основной текст Знак"/>
    <w:basedOn w:val="a0"/>
    <w:link w:val="a6"/>
    <w:rsid w:val="00AB7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457F9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C52D7"/>
    <w:rPr>
      <w:color w:val="0000FF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8C52D7"/>
    <w:pPr>
      <w:ind w:left="720"/>
      <w:contextualSpacing/>
    </w:pPr>
  </w:style>
  <w:style w:type="table" w:styleId="ab">
    <w:name w:val="Table Grid"/>
    <w:basedOn w:val="a1"/>
    <w:uiPriority w:val="59"/>
    <w:rsid w:val="00F75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67C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7CFD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a">
    <w:name w:val="Абзац списка Знак"/>
    <w:link w:val="a9"/>
    <w:uiPriority w:val="34"/>
    <w:locked/>
    <w:rsid w:val="006613E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695E"/>
    <w:rPr>
      <w:rFonts w:ascii="Calibri" w:eastAsia="Times New Roman" w:hAnsi="Calibri" w:cs="Times New Roman"/>
      <w:b/>
      <w:bCs/>
      <w:color w:val="000000"/>
      <w:lang w:val="ru" w:eastAsia="ru-RU"/>
    </w:rPr>
  </w:style>
  <w:style w:type="character" w:customStyle="1" w:styleId="ae">
    <w:name w:val="Основной текст + Полужирный"/>
    <w:uiPriority w:val="99"/>
    <w:rsid w:val="00ED6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styleId="af">
    <w:name w:val="Strong"/>
    <w:uiPriority w:val="22"/>
    <w:qFormat/>
    <w:rsid w:val="00ED69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235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7B27"/>
    <w:pPr>
      <w:keepNext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95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4235D"/>
    <w:rPr>
      <w:i/>
      <w:iCs/>
    </w:rPr>
  </w:style>
  <w:style w:type="paragraph" w:styleId="a4">
    <w:name w:val="caption"/>
    <w:basedOn w:val="a"/>
    <w:uiPriority w:val="99"/>
    <w:semiHidden/>
    <w:unhideWhenUsed/>
    <w:qFormat/>
    <w:rsid w:val="0094235D"/>
    <w:pPr>
      <w:widowControl w:val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ConsPlusNormal">
    <w:name w:val="ConsPlusNormal"/>
    <w:rsid w:val="00942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B7B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1"/>
    <w:rsid w:val="00AB7B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AB7B27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6">
    <w:name w:val="Body Text"/>
    <w:basedOn w:val="a"/>
    <w:link w:val="a7"/>
    <w:rsid w:val="00AB7B27"/>
    <w:pPr>
      <w:spacing w:line="360" w:lineRule="auto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7">
    <w:name w:val="Основной текст Знак"/>
    <w:basedOn w:val="a0"/>
    <w:link w:val="a6"/>
    <w:rsid w:val="00AB7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457F9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C52D7"/>
    <w:rPr>
      <w:color w:val="0000FF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8C52D7"/>
    <w:pPr>
      <w:ind w:left="720"/>
      <w:contextualSpacing/>
    </w:pPr>
  </w:style>
  <w:style w:type="table" w:styleId="ab">
    <w:name w:val="Table Grid"/>
    <w:basedOn w:val="a1"/>
    <w:uiPriority w:val="59"/>
    <w:rsid w:val="00F75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67C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7CFD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a">
    <w:name w:val="Абзац списка Знак"/>
    <w:link w:val="a9"/>
    <w:uiPriority w:val="34"/>
    <w:locked/>
    <w:rsid w:val="006613E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695E"/>
    <w:rPr>
      <w:rFonts w:ascii="Calibri" w:eastAsia="Times New Roman" w:hAnsi="Calibri" w:cs="Times New Roman"/>
      <w:b/>
      <w:bCs/>
      <w:color w:val="000000"/>
      <w:lang w:val="ru" w:eastAsia="ru-RU"/>
    </w:rPr>
  </w:style>
  <w:style w:type="character" w:customStyle="1" w:styleId="ae">
    <w:name w:val="Основной текст + Полужирный"/>
    <w:uiPriority w:val="99"/>
    <w:rsid w:val="00ED6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styleId="af">
    <w:name w:val="Strong"/>
    <w:uiPriority w:val="22"/>
    <w:qFormat/>
    <w:rsid w:val="00ED6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5;&#1056;&#1054;&#1043;&#1053;&#1054;&#1047;%20&#1057;&#1069;&#1056;%20&#1052;&#1054;&#1043;&#1054;%20&#1059;&#1093;&#1090;&#1072;\&#1055;&#1056;&#1054;&#1043;&#1053;&#1054;&#1047;%20&#1044;&#1086;&#1083;&#1075;&#1086;&#1089;&#1088;&#1086;&#1095;&#1085;&#1099;&#1081;\&#1043;&#1056;&#1040;&#1060;&#1048;&#1050;&#1048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2;&#1086;&#1080;%20&#1076;&#1086;&#1082;&#1091;&#1084;&#1077;&#1085;&#1090;&#1099;\&#1055;&#1056;&#1054;&#1043;&#1053;&#1054;&#1047;%20&#1057;&#1069;&#1056;%20&#1052;&#1054;&#1043;&#1054;%20&#1059;&#1093;&#1090;&#1072;\&#1055;&#1056;&#1054;&#1043;&#1053;&#1054;&#1047;%20&#1044;&#1086;&#1083;&#1075;&#1086;&#1089;&#1088;&#1086;&#1095;&#1085;&#1099;&#1081;\&#1043;&#1056;&#1040;&#1060;&#1048;&#1050;&#1048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родившихся, человек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2020 г.</c:v>
                </c:pt>
                <c:pt idx="1">
                  <c:v>2021 г.</c:v>
                </c:pt>
                <c:pt idx="2">
                  <c:v>2022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941</c:v>
                </c:pt>
                <c:pt idx="1">
                  <c:v>901</c:v>
                </c:pt>
                <c:pt idx="2">
                  <c:v>810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Число умерших, человек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2020 г.</c:v>
                </c:pt>
                <c:pt idx="1">
                  <c:v>2021 г.</c:v>
                </c:pt>
                <c:pt idx="2">
                  <c:v>2022 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1359</c:v>
                </c:pt>
                <c:pt idx="1">
                  <c:v>1708</c:v>
                </c:pt>
                <c:pt idx="2">
                  <c:v>1329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8684160"/>
        <c:axId val="78685696"/>
        <c:axId val="0"/>
      </c:bar3DChart>
      <c:catAx>
        <c:axId val="78684160"/>
        <c:scaling>
          <c:orientation val="minMax"/>
        </c:scaling>
        <c:delete val="0"/>
        <c:axPos val="b"/>
        <c:majorTickMark val="out"/>
        <c:minorTickMark val="none"/>
        <c:tickLblPos val="nextTo"/>
        <c:crossAx val="78685696"/>
        <c:crosses val="autoZero"/>
        <c:auto val="1"/>
        <c:lblAlgn val="ctr"/>
        <c:lblOffset val="100"/>
        <c:noMultiLvlLbl val="0"/>
      </c:catAx>
      <c:valAx>
        <c:axId val="78685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86841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233464566929128"/>
          <c:y val="0.36034339457567804"/>
          <c:w val="0.270998687664042"/>
          <c:h val="0.2793132108486439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Лист1!$B$16</c:f>
              <c:strCache>
                <c:ptCount val="1"/>
                <c:pt idx="0">
                  <c:v>Число прибывших, человек</c:v>
                </c:pt>
              </c:strCache>
            </c:strRef>
          </c:tx>
          <c:invertIfNegative val="0"/>
          <c:cat>
            <c:strRef>
              <c:f>Лист1!$A$17:$A$19</c:f>
              <c:strCache>
                <c:ptCount val="3"/>
                <c:pt idx="0">
                  <c:v>2020 г.</c:v>
                </c:pt>
                <c:pt idx="1">
                  <c:v>2021 г.</c:v>
                </c:pt>
                <c:pt idx="2">
                  <c:v>2022 г.</c:v>
                </c:pt>
              </c:strCache>
            </c:strRef>
          </c:cat>
          <c:val>
            <c:numRef>
              <c:f>Лист1!$B$17:$B$19</c:f>
              <c:numCache>
                <c:formatCode>General</c:formatCode>
                <c:ptCount val="3"/>
                <c:pt idx="0">
                  <c:v>2501</c:v>
                </c:pt>
                <c:pt idx="1">
                  <c:v>2707</c:v>
                </c:pt>
                <c:pt idx="2">
                  <c:v>2329</c:v>
                </c:pt>
              </c:numCache>
            </c:numRef>
          </c:val>
        </c:ser>
        <c:ser>
          <c:idx val="1"/>
          <c:order val="1"/>
          <c:tx>
            <c:strRef>
              <c:f>Лист1!$C$16</c:f>
              <c:strCache>
                <c:ptCount val="1"/>
                <c:pt idx="0">
                  <c:v>Число выбывших, человек</c:v>
                </c:pt>
              </c:strCache>
            </c:strRef>
          </c:tx>
          <c:invertIfNegative val="0"/>
          <c:cat>
            <c:strRef>
              <c:f>Лист1!$A$17:$A$19</c:f>
              <c:strCache>
                <c:ptCount val="3"/>
                <c:pt idx="0">
                  <c:v>2020 г.</c:v>
                </c:pt>
                <c:pt idx="1">
                  <c:v>2021 г.</c:v>
                </c:pt>
                <c:pt idx="2">
                  <c:v>2022 г.</c:v>
                </c:pt>
              </c:strCache>
            </c:strRef>
          </c:cat>
          <c:val>
            <c:numRef>
              <c:f>Лист1!$C$17:$C$19</c:f>
              <c:numCache>
                <c:formatCode>General</c:formatCode>
                <c:ptCount val="3"/>
                <c:pt idx="0">
                  <c:v>3496</c:v>
                </c:pt>
                <c:pt idx="1">
                  <c:v>3558</c:v>
                </c:pt>
                <c:pt idx="2">
                  <c:v>3359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9177856"/>
        <c:axId val="150761472"/>
        <c:axId val="0"/>
      </c:bar3DChart>
      <c:catAx>
        <c:axId val="129177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0761472"/>
        <c:crosses val="autoZero"/>
        <c:auto val="1"/>
        <c:lblAlgn val="ctr"/>
        <c:lblOffset val="100"/>
        <c:noMultiLvlLbl val="0"/>
      </c:catAx>
      <c:valAx>
        <c:axId val="150761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91778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533931976620202"/>
          <c:y val="0.3279724760631646"/>
          <c:w val="0.2688888028542698"/>
          <c:h val="0.34405459884050654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91380-D3EA-4783-881B-BF81CD97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М.В.</dc:creator>
  <cp:lastModifiedBy>mah2</cp:lastModifiedBy>
  <cp:revision>3</cp:revision>
  <cp:lastPrinted>2023-10-30T12:20:00Z</cp:lastPrinted>
  <dcterms:created xsi:type="dcterms:W3CDTF">2023-10-30T12:08:00Z</dcterms:created>
  <dcterms:modified xsi:type="dcterms:W3CDTF">2023-10-30T12:24:00Z</dcterms:modified>
</cp:coreProperties>
</file>